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МОЛОТЫЧЕВСКОГО СЕЛЬСОВЕТА</w:t>
      </w:r>
    </w:p>
    <w:p w14:paraId="02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ФАТЕЖСКОГО РАЙОНА</w:t>
      </w:r>
    </w:p>
    <w:p w14:paraId="03000000">
      <w:pPr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5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 w:firstLine="54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>30.</w:t>
      </w:r>
      <w:r>
        <w:rPr>
          <w:rFonts w:ascii="Times New Roman" w:hAnsi="Times New Roman"/>
          <w:b w:val="1"/>
          <w:sz w:val="28"/>
        </w:rPr>
        <w:t>09.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 xml:space="preserve">.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№</w:t>
      </w:r>
      <w:r>
        <w:rPr>
          <w:rFonts w:ascii="Times New Roman" w:hAnsi="Times New Roman"/>
          <w:b w:val="1"/>
          <w:sz w:val="28"/>
        </w:rPr>
        <w:t>13</w:t>
      </w:r>
    </w:p>
    <w:p w14:paraId="08000000">
      <w:pPr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pStyle w:val="Style_1"/>
        <w:widowControl w:val="1"/>
        <w:ind w:firstLine="0"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методики прогнозирования</w:t>
      </w:r>
    </w:p>
    <w:p w14:paraId="0A000000">
      <w:pPr>
        <w:pStyle w:val="Style_1"/>
        <w:widowControl w:val="1"/>
        <w:ind w:firstLine="0"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бюджетных ассигнований</w:t>
      </w:r>
    </w:p>
    <w:p w14:paraId="0B000000">
      <w:pPr>
        <w:pStyle w:val="Style_1"/>
        <w:widowControl w:val="1"/>
        <w:ind w:firstLine="0"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«Молотычевский сельсовет»</w:t>
      </w:r>
    </w:p>
    <w:p w14:paraId="0C000000">
      <w:pPr>
        <w:pStyle w:val="Style_1"/>
        <w:widowControl w:val="1"/>
        <w:ind w:firstLine="0"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Фатежского района </w:t>
      </w:r>
      <w:r>
        <w:rPr>
          <w:rFonts w:ascii="Times New Roman" w:hAnsi="Times New Roman"/>
          <w:sz w:val="28"/>
        </w:rPr>
        <w:t xml:space="preserve">Курской области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построения межбюджетных отношений между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бюджетом муниципального района, областным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бюджетом и бюджетом поселения 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В соответствии со статьей 174.2 Бюджетного кодекса Российской Федерации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z w:val="28"/>
        </w:rPr>
        <w:t xml:space="preserve"> целях повышения качества бюджетного процесса и обеспечения сбалансированности и устойчивости бюджета муниципального 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</w:t>
      </w:r>
      <w:r>
        <w:rPr>
          <w:rFonts w:ascii="Times New Roman" w:hAnsi="Times New Roman"/>
          <w:sz w:val="28"/>
        </w:rPr>
        <w:t xml:space="preserve"> Курской области</w:t>
      </w:r>
      <w:r>
        <w:rPr>
          <w:rFonts w:ascii="Times New Roman" w:hAnsi="Times New Roman"/>
          <w:sz w:val="28"/>
        </w:rPr>
        <w:t>:</w:t>
      </w:r>
    </w:p>
    <w:p w14:paraId="0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методику прогнозирования </w:t>
      </w:r>
      <w:r>
        <w:rPr>
          <w:rFonts w:ascii="Times New Roman" w:hAnsi="Times New Roman"/>
          <w:sz w:val="28"/>
        </w:rPr>
        <w:t xml:space="preserve">бюджетных ассигнований </w:t>
      </w:r>
      <w:r>
        <w:rPr>
          <w:rFonts w:ascii="Times New Roman" w:hAnsi="Times New Roman"/>
          <w:sz w:val="28"/>
        </w:rPr>
        <w:t>муниципального образования   «Молотычевский сельсовет»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для построения межбюджетных отношений между бюджетом муниципального района, областным бюджетом и бюджетом поселения 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. </w:t>
      </w:r>
    </w:p>
    <w:p w14:paraId="0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Начальнику отдела Администрации Молотычевского сельсовета Фатежского района (Н.А Ефремова), осуществить прогнозирование </w:t>
      </w:r>
      <w:r>
        <w:rPr>
          <w:rFonts w:ascii="Times New Roman" w:hAnsi="Times New Roman"/>
          <w:sz w:val="28"/>
        </w:rPr>
        <w:t>бюджетных ассигнований</w:t>
      </w:r>
      <w:r>
        <w:rPr>
          <w:rFonts w:ascii="Times New Roman" w:hAnsi="Times New Roman"/>
          <w:sz w:val="28"/>
        </w:rPr>
        <w:t xml:space="preserve">  бюджета муниципального образования   «Молотычевский сельсовет» Фатежского района для построения межбюджетных отношений между бюджетом муниципального района, областным бюджетом и бюджетом поселения 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распоряжения оставляю за собой.</w:t>
      </w:r>
    </w:p>
    <w:p w14:paraId="1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Распоряжение вступает в силу со дня его подписания.</w:t>
      </w:r>
    </w:p>
    <w:p w14:paraId="1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Молотычевского сельсовета    </w:t>
      </w:r>
      <w:r>
        <w:rPr>
          <w:rFonts w:ascii="Times New Roman" w:hAnsi="Times New Roman"/>
          <w:sz w:val="28"/>
        </w:rPr>
        <w:t xml:space="preserve">                                       </w:t>
      </w:r>
    </w:p>
    <w:p w14:paraId="18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Фатежского района                                                                     </w:t>
      </w:r>
      <w:r>
        <w:rPr>
          <w:rFonts w:ascii="Times New Roman" w:hAnsi="Times New Roman"/>
          <w:sz w:val="28"/>
        </w:rPr>
        <w:t>О.М. Кретова</w:t>
      </w:r>
    </w:p>
    <w:p w14:paraId="1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</w:p>
    <w:p w14:paraId="1F000000">
      <w:pPr>
        <w:pStyle w:val="Style_1"/>
        <w:widowControl w:val="1"/>
        <w:tabs>
          <w:tab w:leader="none" w:pos="9130" w:val="right"/>
        </w:tabs>
        <w:ind w:firstLine="540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20000000">
      <w:pPr>
        <w:pStyle w:val="Style_1"/>
        <w:widowControl w:val="1"/>
        <w:tabs>
          <w:tab w:leader="none" w:pos="3990" w:val="left"/>
          <w:tab w:leader="none" w:pos="4035" w:val="left"/>
          <w:tab w:leader="none" w:pos="9130" w:val="righ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Главы</w:t>
      </w:r>
    </w:p>
    <w:p w14:paraId="21000000">
      <w:pPr>
        <w:pStyle w:val="Style_1"/>
        <w:widowControl w:val="1"/>
        <w:tabs>
          <w:tab w:leader="none" w:pos="7125" w:val="lef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Молотычевского сельсовета</w:t>
      </w:r>
    </w:p>
    <w:p w14:paraId="22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3000000">
      <w:pPr>
        <w:pStyle w:val="Style_1"/>
        <w:widowControl w:val="1"/>
        <w:tabs>
          <w:tab w:leader="none" w:pos="6210" w:val="left"/>
          <w:tab w:leader="none" w:pos="9355" w:val="right"/>
        </w:tabs>
        <w:ind w:firstLine="54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</w:p>
    <w:p w14:paraId="24000000">
      <w:pPr>
        <w:pStyle w:val="Style_3"/>
        <w:spacing w:before="0"/>
        <w:ind w:firstLine="540" w:left="0"/>
        <w:rPr>
          <w:b w:val="0"/>
          <w:sz w:val="24"/>
        </w:rPr>
      </w:pPr>
    </w:p>
    <w:p w14:paraId="25000000">
      <w:pPr>
        <w:pStyle w:val="Style_3"/>
        <w:spacing w:before="0"/>
        <w:ind w:firstLine="540" w:left="0"/>
        <w:rPr>
          <w:b w:val="0"/>
          <w:sz w:val="24"/>
        </w:rPr>
      </w:pPr>
    </w:p>
    <w:p w14:paraId="2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МЕТОДИКА</w:t>
      </w:r>
    </w:p>
    <w:p w14:paraId="2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планирования бюджетных ассигнований бюджета муниципального образования   «Молотычевский сельсовет» Фатежского района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</w:rPr>
        <w:t xml:space="preserve">и построения межбюджетных отношений между бюджетом муниципального района, областным бюджетом </w:t>
      </w:r>
      <w:r>
        <w:rPr>
          <w:rFonts w:ascii="Times New Roman" w:hAnsi="Times New Roman"/>
          <w:b w:val="1"/>
          <w:sz w:val="24"/>
        </w:rPr>
        <w:t>и бюджетом поселения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на </w:t>
      </w:r>
      <w:r>
        <w:rPr>
          <w:rFonts w:ascii="Times New Roman" w:hAnsi="Times New Roman"/>
          <w:b w:val="1"/>
        </w:rPr>
        <w:t>2025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2027</w:t>
      </w:r>
      <w:r>
        <w:rPr>
          <w:rFonts w:ascii="Times New Roman" w:hAnsi="Times New Roman"/>
          <w:b w:val="1"/>
        </w:rPr>
        <w:t xml:space="preserve"> годы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br/>
      </w:r>
    </w:p>
    <w:p w14:paraId="28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прогноза расходов местного бюджета положены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ральные законы от 31 июля 1998 года № 145-ФЗ «Бюджетный кодекс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сийской Федерации» (ред.13.07.2024г),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</w:t>
      </w:r>
      <w:r>
        <w:rPr>
          <w:rFonts w:ascii="Times New Roman" w:hAnsi="Times New Roman"/>
          <w:sz w:val="24"/>
        </w:rPr>
        <w:t>ред.13.07.2024г)</w:t>
      </w:r>
      <w:r>
        <w:rPr>
          <w:rFonts w:ascii="Times New Roman" w:hAnsi="Times New Roman"/>
          <w:sz w:val="24"/>
        </w:rPr>
        <w:t>, от 6 октября 2003 года № 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4"/>
        </w:rPr>
        <w:t>ред.08.08.2024г)</w:t>
      </w:r>
      <w:r>
        <w:rPr>
          <w:rFonts w:ascii="Times New Roman" w:hAnsi="Times New Roman"/>
          <w:sz w:val="24"/>
        </w:rPr>
        <w:t xml:space="preserve">, Послание Президента Российской Федерации Федеральному Собранию Российской Федерации, </w:t>
      </w:r>
      <w:r>
        <w:rPr>
          <w:rFonts w:ascii="Times New Roman" w:hAnsi="Times New Roman"/>
          <w:sz w:val="24"/>
        </w:rPr>
        <w:t>приказ Министерства финансов Российской Федерации от 06.06.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85н (в редакции от 10.06.2024г.)  «Об утверждении кодов (перечней кодов» бюджетной классификации Российской  Федерации, их структуре и принципах назначения»,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планирования бюджетных ассигнований бюджета муниципального образования   «Молотычевский сельсовет» Фатежского района Курской области на 2025 год и плановый период 2026 и 2027 годов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поряжением Администрации </w:t>
      </w:r>
      <w:r>
        <w:rPr>
          <w:rFonts w:ascii="Times New Roman" w:hAnsi="Times New Roman"/>
          <w:sz w:val="24"/>
        </w:rPr>
        <w:t xml:space="preserve">Молотычевского сельсовета Фатежского района </w:t>
      </w:r>
      <w:r>
        <w:rPr>
          <w:rFonts w:ascii="Times New Roman" w:hAnsi="Times New Roman"/>
          <w:sz w:val="24"/>
        </w:rPr>
        <w:t xml:space="preserve">Курской области от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№3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, а также проект </w:t>
      </w:r>
      <w:r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 xml:space="preserve"> «О бюджете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дов».</w:t>
      </w:r>
    </w:p>
    <w:p w14:paraId="29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расходной части проекта</w:t>
      </w:r>
      <w:r>
        <w:rPr>
          <w:rFonts w:ascii="Times New Roman" w:hAnsi="Times New Roman"/>
          <w:sz w:val="24"/>
        </w:rPr>
        <w:t xml:space="preserve"> о бюдж</w:t>
      </w:r>
      <w:r>
        <w:rPr>
          <w:rFonts w:ascii="Times New Roman" w:hAnsi="Times New Roman"/>
          <w:sz w:val="24"/>
        </w:rPr>
        <w:t>ете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на пл</w:t>
      </w:r>
      <w:r>
        <w:rPr>
          <w:rFonts w:ascii="Times New Roman" w:hAnsi="Times New Roman"/>
          <w:sz w:val="24"/>
        </w:rPr>
        <w:t xml:space="preserve">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следует осуществлять:</w:t>
      </w:r>
    </w:p>
    <w:p w14:paraId="2A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в соответствии с приказами Министерства финансов Российской Федерации:</w:t>
      </w:r>
    </w:p>
    <w:p w14:paraId="2B000000">
      <w:pPr>
        <w:pStyle w:val="Style_4"/>
        <w:ind w:firstLine="684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sz w:val="24"/>
        </w:rPr>
        <w:t xml:space="preserve">от 6 июня 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г. № 85н </w:t>
      </w:r>
      <w:r>
        <w:rPr>
          <w:rFonts w:ascii="Times New Roman" w:hAnsi="Times New Roman"/>
          <w:sz w:val="24"/>
        </w:rPr>
        <w:t xml:space="preserve">(в редакции от </w:t>
      </w:r>
      <w:r>
        <w:rPr>
          <w:rFonts w:ascii="Times New Roman" w:hAnsi="Times New Roman"/>
          <w:sz w:val="24"/>
        </w:rPr>
        <w:t>10.06.2024г.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11.06.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 г. № 78н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г. № 85н» (далее - Порядок № 85н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годы, Приказ № 78н соответственно)</w:t>
      </w:r>
      <w:r>
        <w:rPr>
          <w:rFonts w:ascii="Times New Roman" w:hAnsi="Times New Roman"/>
          <w:sz w:val="24"/>
        </w:rPr>
        <w:t xml:space="preserve"> ;</w:t>
      </w:r>
      <w:r>
        <w:rPr>
          <w:rFonts w:ascii="Times New Roman" w:hAnsi="Times New Roman"/>
          <w:sz w:val="24"/>
        </w:rPr>
        <w:t xml:space="preserve"> </w:t>
      </w:r>
    </w:p>
    <w:p w14:paraId="2C000000">
      <w:pPr>
        <w:pStyle w:val="Style_4"/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17.05.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г. № 75н (в редакции 25.12.2023г.) «Об утверждении кодов (перечней кодов) </w:t>
      </w:r>
      <w:r>
        <w:rPr>
          <w:rFonts w:ascii="Times New Roman" w:hAnsi="Times New Roman"/>
          <w:sz w:val="24"/>
        </w:rPr>
        <w:t xml:space="preserve">бюджетной классификации Российской Федерации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 (на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годов)» (далее - Приказ № 75н);</w:t>
      </w:r>
    </w:p>
    <w:p w14:paraId="2D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учетом сопровождающих данные приказы сопоставительных таблиц (таблиц соответствия), к числу которых относятся:</w:t>
      </w:r>
    </w:p>
    <w:p w14:paraId="2E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разделов (подразделов)</w:t>
      </w:r>
      <w:r>
        <w:rPr>
          <w:rFonts w:ascii="Times New Roman" w:hAnsi="Times New Roman"/>
          <w:sz w:val="24"/>
        </w:rPr>
        <w:t xml:space="preserve"> и видов </w:t>
      </w:r>
      <w:r>
        <w:rPr>
          <w:rFonts w:ascii="Times New Roman" w:hAnsi="Times New Roman"/>
          <w:sz w:val="24"/>
        </w:rPr>
        <w:t>расходов</w:t>
      </w:r>
      <w:r>
        <w:rPr>
          <w:rFonts w:ascii="Times New Roman" w:hAnsi="Times New Roman"/>
          <w:sz w:val="24"/>
        </w:rPr>
        <w:t xml:space="preserve"> Минфина России</w:t>
      </w:r>
    </w:p>
    <w:p w14:paraId="2F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классификации расходов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годов;</w:t>
      </w:r>
    </w:p>
    <w:p w14:paraId="30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Сопоставительная таблица изменений единых для бюджетов бюджетной системы Российской Федерации видов расходов -классификации расходов бюджетов, применяемых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году, к применяемым в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году и плановом периоде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годах;</w:t>
      </w:r>
    </w:p>
    <w:p w14:paraId="31000000">
      <w:pPr>
        <w:pStyle w:val="Style_4"/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видов расходов классификации расходов бюджетов и статей (подстатей) классификации операций сектора государственного управления.</w:t>
      </w:r>
    </w:p>
    <w:p w14:paraId="32000000">
      <w:pPr>
        <w:pStyle w:val="Style_4"/>
        <w:ind w:firstLine="684" w:left="0"/>
        <w:rPr>
          <w:rFonts w:ascii="Times New Roman" w:hAnsi="Times New Roman"/>
          <w:sz w:val="24"/>
        </w:rPr>
      </w:pPr>
    </w:p>
    <w:p w14:paraId="33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Формирование проектов законов (решений) о бюджетах бюджетной системы Российской Федерации на 2025 год (на 2025 год и на плановый период 2026 и 2027 г</w:t>
      </w:r>
      <w:r>
        <w:rPr>
          <w:rFonts w:ascii="Times New Roman" w:hAnsi="Times New Roman"/>
          <w:b w:val="0"/>
          <w:sz w:val="24"/>
        </w:rPr>
        <w:t>одов) осуществляется:</w:t>
      </w:r>
    </w:p>
    <w:p w14:paraId="34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соответствии с приказами Министерства финансов Российской Федерации:</w:t>
      </w:r>
    </w:p>
    <w:p w14:paraId="35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24 мая 2022 г. № 82н "О Порядке формирования и применения кодов бюджетной классификации Российской Федерации, их структуре и при</w:t>
      </w:r>
      <w:r>
        <w:rPr>
          <w:rFonts w:ascii="Times New Roman" w:hAnsi="Times New Roman"/>
          <w:b w:val="0"/>
          <w:sz w:val="24"/>
        </w:rPr>
        <w:t>нци</w:t>
      </w:r>
      <w:r>
        <w:rPr>
          <w:rFonts w:ascii="Times New Roman" w:hAnsi="Times New Roman"/>
          <w:b w:val="0"/>
          <w:sz w:val="24"/>
        </w:rPr>
        <w:t xml:space="preserve">пах назначения", в редакции </w:t>
      </w:r>
      <w:r>
        <w:rPr>
          <w:rFonts w:ascii="Times New Roman" w:hAnsi="Times New Roman"/>
          <w:b w:val="0"/>
          <w:sz w:val="24"/>
        </w:rPr>
        <w:t>приказа Министерства финансов Российской Федерации от 15 апреля 2024 г. № 44н (далее - Порядок № 82н);</w:t>
      </w:r>
    </w:p>
    <w:p w14:paraId="36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10 июня 2024 г. № 85н "Об утверждении кодов (перечней кодов бюджетной классификации Российской Федерации на 2025 год (на 2025 год и на плановый период</w:t>
      </w:r>
      <w:r>
        <w:rPr>
          <w:rFonts w:ascii="Times New Roman" w:hAnsi="Times New Roman"/>
          <w:b w:val="0"/>
          <w:sz w:val="24"/>
        </w:rPr>
        <w:t xml:space="preserve"> 2026 и 2027 годов)" (далее - Приказ № 85н);</w:t>
      </w:r>
    </w:p>
    <w:p w14:paraId="37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 учетом сопровождающих данные приказы сопоставительных таблиц (таблиц соответствия), к числу которых относятся:</w:t>
      </w:r>
    </w:p>
    <w:p w14:paraId="38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Таблица соответствия разделов (подразделов) и видов расходов классификации расходов бюджетов, прим</w:t>
      </w:r>
      <w:r>
        <w:rPr>
          <w:rFonts w:ascii="Times New Roman" w:hAnsi="Times New Roman"/>
          <w:b w:val="0"/>
          <w:sz w:val="24"/>
        </w:rPr>
        <w:t>еняемых при составлении и исполнении бюджетов субъектов Российской Федерации, начиная с бюджетов на 2025 год и на плановый период 2026 и 2027 годов;</w:t>
      </w:r>
    </w:p>
    <w:p w14:paraId="39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Таблица соответствия видов расходов классификации расходов бюджетов и статей (подстатей) классификации опер</w:t>
      </w:r>
      <w:r>
        <w:rPr>
          <w:rFonts w:ascii="Times New Roman" w:hAnsi="Times New Roman"/>
          <w:b w:val="0"/>
          <w:sz w:val="24"/>
        </w:rPr>
        <w:t>аций сектора государственного управления, применяемая в 2025 году;</w:t>
      </w:r>
    </w:p>
    <w:p w14:paraId="3A000000">
      <w:pPr>
        <w:pStyle w:val="Style_5"/>
        <w:rPr>
          <w:rFonts w:ascii="Times New Roman" w:hAnsi="Times New Roman"/>
          <w:b w:val="0"/>
          <w:sz w:val="24"/>
        </w:rPr>
      </w:pPr>
    </w:p>
    <w:p w14:paraId="3B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Сопоставительная таблица целевых статей расходов и кодов видов доходов, применяющихся при составлении и исполнении бюджетов бюджетной системы Российской Федерации на</w:t>
      </w:r>
      <w:r>
        <w:rPr>
          <w:rFonts w:ascii="Times New Roman" w:hAnsi="Times New Roman"/>
          <w:b w:val="0"/>
          <w:sz w:val="24"/>
        </w:rPr>
        <w:t xml:space="preserve"> 2025 год и на плановый период 2026 и 2027 годов.</w:t>
      </w:r>
    </w:p>
    <w:p w14:paraId="3C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целях обеспечения единообразного применения бюджетной </w:t>
      </w:r>
      <w:r>
        <w:rPr>
          <w:rFonts w:ascii="Times New Roman" w:hAnsi="Times New Roman"/>
          <w:b w:val="0"/>
          <w:sz w:val="24"/>
        </w:rPr>
        <w:t>классификации Российской Федерации при формировании проектов бюджетов субъектов Российской Федерации и местных бюджетов на 2025 год (на 2025 год и на плановый период 2026 и 2027 годов) Министерство финансов Российской Федерации обращает внимание на следующ</w:t>
      </w:r>
      <w:r>
        <w:rPr>
          <w:rFonts w:ascii="Times New Roman" w:hAnsi="Times New Roman"/>
          <w:b w:val="0"/>
          <w:sz w:val="24"/>
        </w:rPr>
        <w:t>ие особенности и изменения порядка применения кодов бюджетной классификации Российской Федерации.</w:t>
      </w:r>
    </w:p>
    <w:p w14:paraId="3D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 xml:space="preserve">  В целях реализации Указа Президента Российской Федерации от 7 мая 2024 г. № 309 "О национальных целях развития Российской Федерации на </w:t>
      </w:r>
      <w:r>
        <w:rPr>
          <w:rFonts w:ascii="Times New Roman" w:hAnsi="Times New Roman"/>
          <w:b w:val="0"/>
          <w:sz w:val="24"/>
        </w:rPr>
        <w:t>период до 2030 года и на перспективу до 2036 года" проектом приказа Министерства финансов Российской Федерации "О внесении изменений в Порядок формирования и применения кодов бюджетной классификации Российской Федерации, их структуру и принципы назначения,</w:t>
      </w:r>
      <w:r>
        <w:rPr>
          <w:rFonts w:ascii="Times New Roman" w:hAnsi="Times New Roman"/>
          <w:b w:val="0"/>
          <w:sz w:val="24"/>
        </w:rPr>
        <w:t xml:space="preserve"> утвержденные приказом Министерства финансов Российской Федерации </w:t>
      </w:r>
      <w:r>
        <w:rPr>
          <w:rFonts w:ascii="Times New Roman" w:hAnsi="Times New Roman"/>
          <w:b w:val="0"/>
          <w:sz w:val="24"/>
        </w:rPr>
        <w:t>от 24 мая 2022 г. № 82н" (далее - Проект приказа № 82н) предусмотрены коды новых национальных проектов и входящих в их состав федеральных проектов</w:t>
      </w:r>
      <w:r>
        <w:rPr>
          <w:rFonts w:ascii="Times New Roman" w:hAnsi="Times New Roman"/>
          <w:b w:val="0"/>
          <w:sz w:val="24"/>
        </w:rPr>
        <w:t>.</w:t>
      </w:r>
    </w:p>
    <w:p w14:paraId="3E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Расходы бюджетов субъектов Российской Федерации (местн</w:t>
      </w:r>
      <w:r>
        <w:rPr>
          <w:rFonts w:ascii="Times New Roman" w:hAnsi="Times New Roman"/>
          <w:b w:val="0"/>
          <w:sz w:val="24"/>
        </w:rPr>
        <w:t xml:space="preserve">ых бюджетов), осуществляемые за счет бюджетных ассигнований дорожных фондов. </w:t>
      </w:r>
      <w:r>
        <w:rPr>
          <w:rFonts w:ascii="Times New Roman" w:hAnsi="Times New Roman"/>
          <w:b w:val="0"/>
          <w:sz w:val="24"/>
        </w:rPr>
        <w:t>Указанные расходы бюджетов субъектов Российской Федерации (местных бюджетов) на:</w:t>
      </w:r>
    </w:p>
    <w:p w14:paraId="3F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</w:t>
      </w:r>
      <w:r>
        <w:rPr>
          <w:rFonts w:ascii="Times New Roman" w:hAnsi="Times New Roman"/>
          <w:b w:val="0"/>
          <w:sz w:val="24"/>
        </w:rPr>
        <w:t>сооружений на них, а также на мероприятия по транспортной безопасности, проводимые в рамках строительства, реконструкции, капитального ремонта и ремонта автомобильных дорог, отражаются по кодам направлений расходов, содержащим значения 9Д000 - 9Д199;</w:t>
      </w:r>
    </w:p>
    <w:p w14:paraId="40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капит</w:t>
      </w:r>
      <w:r>
        <w:rPr>
          <w:rFonts w:ascii="Times New Roman" w:hAnsi="Times New Roman"/>
          <w:b w:val="0"/>
          <w:sz w:val="24"/>
        </w:rPr>
        <w:t>альный ремонт и ремонт дворовых территорий многоквартирных домов, проездов к дворовым территориям многоквартирных домов населенных пунктов отражаются по кодам направлений расходов, содержащим значения 9Д200 - 9Д399;</w:t>
      </w:r>
    </w:p>
    <w:p w14:paraId="41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обеспечение транспортной безопасности об</w:t>
      </w:r>
      <w:r>
        <w:rPr>
          <w:rFonts w:ascii="Times New Roman" w:hAnsi="Times New Roman"/>
          <w:b w:val="0"/>
          <w:sz w:val="24"/>
        </w:rPr>
        <w:t>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</w:t>
      </w:r>
      <w:r>
        <w:rPr>
          <w:rFonts w:ascii="Times New Roman" w:hAnsi="Times New Roman"/>
          <w:b w:val="0"/>
          <w:sz w:val="24"/>
        </w:rPr>
        <w:t>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</w:t>
      </w:r>
      <w:r>
        <w:rPr>
          <w:rFonts w:ascii="Times New Roman" w:hAnsi="Times New Roman"/>
          <w:b w:val="0"/>
          <w:sz w:val="24"/>
        </w:rPr>
        <w:t>ых в рамках мероприятий по содержанию автомобильных дорог) отражаются по кодам направлений расходов, содержащим значения 9Д400 - 9Д599;</w:t>
      </w:r>
    </w:p>
    <w:p w14:paraId="42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административно-хозяйственные расходы в рамках осуществления дорожной деятельности отражаются по кодам направлений расхо</w:t>
      </w:r>
      <w:r>
        <w:rPr>
          <w:rFonts w:ascii="Times New Roman" w:hAnsi="Times New Roman"/>
          <w:b w:val="0"/>
          <w:sz w:val="24"/>
        </w:rPr>
        <w:t>дов, содержащим значения 9Д600 - 9Д799;</w:t>
      </w:r>
    </w:p>
    <w:p w14:paraId="43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прочие расходы за счет бюджетных ассигнований дорожного фонда отражаются по кодам направлений расходов, содержащим значения 9Д800 – 9Д999.</w:t>
      </w:r>
    </w:p>
    <w:p w14:paraId="44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В целях реализации отдельных положений, предусмотренных Федеральным законом от 13 июля 2024 г. № 177-ФЗ "О внесении изменений в Бюджетный кодекс Российской Федерации и отдельные законодательные акты Российской Федерации" (далее - Федеральны</w:t>
      </w:r>
      <w:r>
        <w:rPr>
          <w:rFonts w:ascii="Times New Roman" w:hAnsi="Times New Roman"/>
          <w:b w:val="0"/>
          <w:sz w:val="24"/>
        </w:rPr>
        <w:t>й закон № 177-ФЗ), Порядок № 82н дополнен новыми видами расходов.</w:t>
      </w:r>
    </w:p>
    <w:p w14:paraId="45000000">
      <w:pPr>
        <w:pStyle w:val="Style_5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В целях реализации подпункта "</w:t>
      </w:r>
      <w:r>
        <w:rPr>
          <w:rFonts w:ascii="Times New Roman" w:hAnsi="Times New Roman"/>
          <w:b w:val="0"/>
          <w:sz w:val="24"/>
        </w:rPr>
        <w:t>б" пункта 3 статьи 1 Федерального закона № 177-ФЗ Проектом приказа № 82н предусмотрена подгруппа видов расходов 890 "Субсидии юридическим лицам, индивидуальным предпринимателям, являющимся стороной концессионных соглашений, соглашений о государственно-част</w:t>
      </w:r>
      <w:r>
        <w:rPr>
          <w:rFonts w:ascii="Times New Roman" w:hAnsi="Times New Roman"/>
          <w:b w:val="0"/>
          <w:sz w:val="24"/>
        </w:rPr>
        <w:t>ном партнерстве, муниципально-частном партнерстве, а также на финансовое обеспечение (возмещение) затрат, связанных с финансовой арендой (лизингом)".</w:t>
      </w:r>
    </w:p>
    <w:p w14:paraId="46000000">
      <w:pPr>
        <w:tabs>
          <w:tab w:leader="none" w:pos="1297" w:val="left"/>
        </w:tabs>
        <w:spacing w:line="384" w:lineRule="exact"/>
        <w:ind w:right="20"/>
        <w:jc w:val="both"/>
        <w:rPr>
          <w:rFonts w:ascii="Times New Roman" w:hAnsi="Times New Roman"/>
          <w:sz w:val="24"/>
        </w:rPr>
      </w:pPr>
    </w:p>
    <w:p w14:paraId="47000000">
      <w:pPr>
        <w:pStyle w:val="Style_4"/>
        <w:ind w:firstLine="684" w:left="0"/>
        <w:rPr>
          <w:rFonts w:ascii="Times New Roman" w:hAnsi="Times New Roman"/>
          <w:sz w:val="24"/>
        </w:rPr>
      </w:pPr>
    </w:p>
    <w:p w14:paraId="48000000">
      <w:pPr>
        <w:ind/>
        <w:jc w:val="both"/>
        <w:rPr>
          <w:rFonts w:ascii="Times New Roman" w:hAnsi="Times New Roman"/>
          <w:b w:val="1"/>
          <w:i w:val="1"/>
        </w:rPr>
      </w:pPr>
    </w:p>
    <w:p w14:paraId="49000000">
      <w:pPr>
        <w:ind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 xml:space="preserve">I.Планирование расходов местного бюджета на </w:t>
      </w:r>
      <w:r>
        <w:rPr>
          <w:rFonts w:ascii="Times New Roman" w:hAnsi="Times New Roman"/>
          <w:b w:val="1"/>
          <w:i w:val="1"/>
          <w:sz w:val="32"/>
          <w:u w:val="single"/>
        </w:rPr>
        <w:t>2025</w:t>
      </w:r>
      <w:r>
        <w:rPr>
          <w:rFonts w:ascii="Times New Roman" w:hAnsi="Times New Roman"/>
          <w:b w:val="1"/>
          <w:i w:val="1"/>
          <w:sz w:val="32"/>
          <w:u w:val="single"/>
        </w:rPr>
        <w:t>-</w:t>
      </w:r>
      <w:r>
        <w:rPr>
          <w:rFonts w:ascii="Times New Roman" w:hAnsi="Times New Roman"/>
          <w:b w:val="1"/>
          <w:i w:val="1"/>
          <w:sz w:val="32"/>
          <w:u w:val="single"/>
        </w:rPr>
        <w:t>2027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годы.</w:t>
      </w:r>
    </w:p>
    <w:p w14:paraId="4A000000">
      <w:pPr>
        <w:ind/>
        <w:jc w:val="both"/>
        <w:rPr>
          <w:rFonts w:ascii="Times New Roman" w:hAnsi="Times New Roman"/>
          <w:b w:val="1"/>
          <w:i w:val="1"/>
        </w:rPr>
      </w:pPr>
    </w:p>
    <w:p w14:paraId="4B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Планирование объемов 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 осуществляется в рамках муниципальных </w:t>
      </w:r>
      <w:r>
        <w:rPr>
          <w:rFonts w:ascii="Times New Roman" w:hAnsi="Times New Roman"/>
        </w:rPr>
        <w:t xml:space="preserve">программ </w:t>
      </w:r>
      <w:r>
        <w:rPr>
          <w:rFonts w:ascii="Times New Roman" w:hAnsi="Times New Roman"/>
        </w:rPr>
        <w:t xml:space="preserve"> Молотычевского сельсовета Фатежского района Курской области и непрограммных  меропри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тий.</w:t>
      </w:r>
    </w:p>
    <w:p w14:paraId="4C000000">
      <w:pPr>
        <w:ind w:firstLine="684" w:left="0"/>
        <w:jc w:val="both"/>
        <w:rPr>
          <w:rFonts w:ascii="Times New Roman" w:hAnsi="Times New Roman"/>
        </w:rPr>
      </w:pPr>
    </w:p>
    <w:p w14:paraId="4D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объема и структуры расходов </w:t>
      </w:r>
      <w:r>
        <w:rPr>
          <w:rFonts w:ascii="Times New Roman" w:hAnsi="Times New Roman"/>
        </w:rPr>
        <w:t xml:space="preserve">местного бюджета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 осуществляется исходя из «базовых» объемов бюджетных ассигнований 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утвержденных </w:t>
      </w:r>
      <w:r>
        <w:rPr>
          <w:rFonts w:ascii="Times New Roman" w:hAnsi="Times New Roman"/>
        </w:rPr>
        <w:t>решением от 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 №105</w:t>
      </w:r>
      <w:r>
        <w:rPr>
          <w:rFonts w:ascii="Times New Roman" w:hAnsi="Times New Roman"/>
        </w:rPr>
        <w:t xml:space="preserve"> «О бюджете муниципального образования    «Молотычевский сельсовет» Фатежского района  Курской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(в редакции о</w:t>
      </w:r>
      <w:r>
        <w:rPr>
          <w:rFonts w:ascii="Times New Roman" w:hAnsi="Times New Roman"/>
        </w:rPr>
        <w:t>т 28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122</w:t>
      </w:r>
      <w:r>
        <w:rPr>
          <w:rFonts w:ascii="Times New Roman" w:hAnsi="Times New Roman"/>
        </w:rPr>
        <w:t xml:space="preserve">) с учетом их доведения до уровня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положены бюджетные ассигнования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4E000000">
      <w:pPr>
        <w:ind w:firstLine="684" w:left="0"/>
        <w:jc w:val="both"/>
        <w:rPr>
          <w:rFonts w:ascii="Times New Roman" w:hAnsi="Times New Roman"/>
        </w:rPr>
      </w:pPr>
    </w:p>
    <w:p w14:paraId="4F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Планирование расходов местного бюджета осуществляется на: </w:t>
      </w:r>
    </w:p>
    <w:p w14:paraId="50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оплату труда работников органов государственной власти, финансируемых за счет средств областного бюджет</w:t>
      </w:r>
      <w:r>
        <w:rPr>
          <w:rFonts w:ascii="Times New Roman" w:hAnsi="Times New Roman"/>
        </w:rPr>
        <w:t xml:space="preserve">а, исходя </w:t>
      </w:r>
      <w:r>
        <w:rPr>
          <w:rFonts w:ascii="Times New Roman" w:hAnsi="Times New Roman"/>
        </w:rPr>
        <w:t>из утвержденных структур, действующих на 1 ав</w:t>
      </w:r>
      <w:r>
        <w:rPr>
          <w:rFonts w:ascii="Times New Roman" w:hAnsi="Times New Roman"/>
        </w:rPr>
        <w:t xml:space="preserve">густа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и нормативных актов Курской области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муниципального образования Молотыческого сельсовета Фатежского района Курской области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норматива формирования расходов на содержание </w:t>
      </w: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Молотыческо</w:t>
      </w:r>
      <w:r>
        <w:rPr>
          <w:rFonts w:ascii="Times New Roman" w:hAnsi="Times New Roman"/>
        </w:rPr>
        <w:t>го сельсовета Фатежского района других нормативных актов,</w:t>
      </w:r>
      <w:r>
        <w:rPr>
          <w:rFonts w:ascii="Times New Roman" w:hAnsi="Times New Roman"/>
        </w:rPr>
        <w:t xml:space="preserve"> регулирующих оплату труда;</w:t>
      </w:r>
    </w:p>
    <w:p w14:paraId="51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текущее содержание </w:t>
      </w:r>
      <w:r>
        <w:rPr>
          <w:rFonts w:ascii="Times New Roman" w:hAnsi="Times New Roman"/>
          <w:i w:val="1"/>
        </w:rPr>
        <w:t>администрации Молотыческого сельсовета Фатежского района –</w:t>
      </w:r>
      <w:r>
        <w:rPr>
          <w:rFonts w:ascii="Times New Roman" w:hAnsi="Times New Roman"/>
        </w:rPr>
        <w:t xml:space="preserve"> исходя их общих подходов к расчету бюджетных проектировок, а т</w:t>
      </w:r>
      <w:r>
        <w:rPr>
          <w:rFonts w:ascii="Times New Roman" w:hAnsi="Times New Roman"/>
        </w:rPr>
        <w:t xml:space="preserve">акже установленного </w:t>
      </w:r>
      <w:r>
        <w:rPr>
          <w:rFonts w:ascii="Times New Roman" w:hAnsi="Times New Roman"/>
        </w:rPr>
        <w:t>норматив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формирования расходов на содержание администрации Молотыческого сельсовета Фатежского района;</w:t>
      </w:r>
    </w:p>
    <w:p w14:paraId="52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социальные выплаты (пособия, компенсации, доплаты, надбавки, дополнительное материальное обеспечение, и меры социальной поддержки отдельным категориям граждан в соответствии с действующим законодательством исходя из ожидаемой численно</w:t>
      </w:r>
      <w:r>
        <w:rPr>
          <w:rFonts w:ascii="Times New Roman" w:hAnsi="Times New Roman"/>
        </w:rPr>
        <w:t>сти получателей,</w:t>
      </w:r>
      <w:r>
        <w:rPr>
          <w:rFonts w:ascii="Times New Roman" w:hAnsi="Times New Roman"/>
        </w:rPr>
        <w:t xml:space="preserve">  с учетом ее изменения, и размеров выплат.</w:t>
      </w:r>
    </w:p>
    <w:p w14:paraId="53000000">
      <w:pPr>
        <w:ind w:firstLine="6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бюджета 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и на плановый период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 применены общие подходы к расчету бюдже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ных проектировок:</w:t>
      </w:r>
    </w:p>
    <w:p w14:paraId="54000000">
      <w:pPr>
        <w:ind w:firstLine="709" w:left="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мере 30,2 %;</w:t>
      </w:r>
    </w:p>
    <w:p w14:paraId="55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174.2 БК РФ, учитывая положения порядка конкурсного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пределения принимаемых расходных обязательств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бюджета;</w:t>
      </w:r>
    </w:p>
    <w:p w14:paraId="56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 бюджетные ассигнования, финансовое обеспечение которых ос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ществляется за счет средств федерального бюджета в виде целевых су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венций, субсидий и иных межбюджетных трансфертов;</w:t>
      </w:r>
    </w:p>
    <w:p w14:paraId="57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обеспечение сохранения целевых показателей указа Президента Российской Федераци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 xml:space="preserve"> от 07.05.2024 №309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"О национальных целях развития Российской Федерации на период до 2030 года и на перспективу до 2036 года</w:t>
      </w:r>
      <w:r>
        <w:rPr>
          <w:rFonts w:ascii="PT Sans" w:hAnsi="PT Sans"/>
          <w:b w:val="0"/>
          <w:i w:val="0"/>
          <w:caps w:val="0"/>
          <w:color w:val="333333"/>
          <w:spacing w:val="0"/>
          <w:sz w:val="30"/>
          <w:highlight w:val="white"/>
        </w:rPr>
        <w:t>"</w:t>
      </w:r>
      <w:r>
        <w:rPr>
          <w:rFonts w:ascii="Times New Roman" w:hAnsi="Times New Roman"/>
        </w:rPr>
        <w:t>;</w:t>
      </w:r>
    </w:p>
    <w:p w14:paraId="58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расходы на обеспечение условий софинансирования из </w:t>
      </w:r>
      <w:r>
        <w:rPr>
          <w:rFonts w:ascii="Times New Roman" w:hAnsi="Times New Roman"/>
        </w:rPr>
        <w:t>областного</w:t>
      </w:r>
      <w:r>
        <w:rPr>
          <w:rFonts w:ascii="Times New Roman" w:hAnsi="Times New Roman"/>
        </w:rPr>
        <w:t xml:space="preserve"> бюджета определены исходя из предварительных объемов, дов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денных </w:t>
      </w:r>
      <w:r>
        <w:rPr>
          <w:rFonts w:ascii="Times New Roman" w:hAnsi="Times New Roman"/>
        </w:rPr>
        <w:t>областными</w:t>
      </w:r>
      <w:r>
        <w:rPr>
          <w:rFonts w:ascii="Times New Roman" w:hAnsi="Times New Roman"/>
        </w:rPr>
        <w:t xml:space="preserve"> органами исполнительной власти, в том числе по заключенн</w:t>
      </w:r>
      <w:r>
        <w:rPr>
          <w:rFonts w:ascii="Times New Roman" w:hAnsi="Times New Roman"/>
        </w:rPr>
        <w:t>ым предварительным  соглашениям;</w:t>
      </w:r>
    </w:p>
    <w:p w14:paraId="59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р</w:t>
      </w:r>
      <w:r>
        <w:rPr>
          <w:rFonts w:ascii="Times New Roman" w:hAnsi="Times New Roman"/>
        </w:rPr>
        <w:t>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условий проживания граждан, поддержание и улучшение санитарного и эстетического состояния территории, направленных на обеспечение и повышение комфортности условий проживания граждан</w:t>
      </w:r>
      <w:r>
        <w:rPr>
          <w:rFonts w:ascii="Times New Roman" w:hAnsi="Times New Roman"/>
        </w:rPr>
        <w:t>, отражаются по подразделу 0503 «Благоустройство»</w:t>
      </w:r>
      <w:r>
        <w:rPr>
          <w:rFonts w:ascii="Times New Roman" w:hAnsi="Times New Roman"/>
        </w:rPr>
        <w:t>.</w:t>
      </w:r>
    </w:p>
    <w:p w14:paraId="5A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корректного применения указанного подраздела необходимо учитывать следующие нормы законода</w:t>
      </w:r>
      <w:r>
        <w:rPr>
          <w:rFonts w:ascii="Times New Roman" w:hAnsi="Times New Roman"/>
        </w:rPr>
        <w:t xml:space="preserve">тельства Российской Федерации. </w:t>
      </w:r>
    </w:p>
    <w:p w14:paraId="5B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подраздел 0503 «Благоустройство» корректно применять для отражения расходов на мероприятия по благоустройству, включенные в правила благоустройства территории, утвержденные представительным органом соответствующего муниципального образования., и обеспеченные бюджетными ассигнованиями в соответствии с его бюджетом.</w:t>
      </w:r>
    </w:p>
    <w:p w14:paraId="5C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</w:t>
      </w:r>
      <w:r>
        <w:rPr>
          <w:rFonts w:ascii="Times New Roman" w:hAnsi="Times New Roman"/>
        </w:rPr>
        <w:t xml:space="preserve">ности применения целевых статей 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</w:t>
      </w:r>
      <w:r>
        <w:rPr>
          <w:rFonts w:ascii="Times New Roman" w:hAnsi="Times New Roman"/>
        </w:rPr>
        <w:t xml:space="preserve">определены Пунктом 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 xml:space="preserve">остановления Правительства Российской Федерации от 26 мая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г. № 786 (с изменениями) «О системе управления государственными пр</w:t>
      </w:r>
      <w:r>
        <w:rPr>
          <w:rFonts w:ascii="Times New Roman" w:hAnsi="Times New Roman"/>
        </w:rPr>
        <w:t xml:space="preserve">ограммами Российской Федерации». </w:t>
      </w:r>
      <w:r>
        <w:rPr>
          <w:rFonts w:ascii="Times New Roman" w:hAnsi="Times New Roman"/>
        </w:rPr>
        <w:t xml:space="preserve">В настоящее время, согласно пункту 21 Порядка № 85н 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годы, коды целевых статей бюджета субъекта Российской Федерации и бюджета территориального государственного внебюджетного фонда устанавливаются финансовым органом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субъекта Российской Федерации, который утверждает единую структуру программной (непрограммной) части кода целевой статьи (8-12 разряды кода классификации расходов бюджетов).</w:t>
      </w:r>
    </w:p>
    <w:p w14:paraId="5D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Уточнено описание вида расходов 247 «Закупка энергетических ресурсов» (далее - ВР 247) в части дополнения содержащегося в нем закрытого перечня расходов расходами на горячее водоснабжение, а также конкретизацией расходов на газоснабжение.</w:t>
      </w:r>
    </w:p>
    <w:p w14:paraId="5E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Так, с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года по ВР 247 отражаются расходы бюджетов бюджетной системы Российской Федерации, государственных (муниципальных) бюджетных и автономных учреждений на оплату:</w:t>
      </w:r>
    </w:p>
    <w:p w14:paraId="5F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потребленных энергетических ресурсов (электроэнергии, газа природного и сжиженного (за исключением заправки автотранспорта, работающего на газомоторном топливе и бытовых газовых баллонов на заправочных станциях, осуществляющих розничную продажу газа), теплоснабжения (отопления и горячего водоснабжения), включая оплату просроченной задолженности за указанные потребленные энергетические ресурсы), а также услуг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транспортировке энергетических ресурсов по газораспределительным, электрическим и теплосетям (при их наличии);</w:t>
      </w:r>
    </w:p>
    <w:p w14:paraId="60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услуг транспортировки указанных энергетических ресурсов по газораспределительным и электрическим и теплосетям (при ее наличии), а также иных снабженческо-сбытовых услуг, включенных в договор поставки.</w:t>
      </w:r>
    </w:p>
    <w:p w14:paraId="61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 247 не применяется для отражения бюджетных ассигнований на аналогичные расходы, осуществляемые за пределами территории Российской Федерации.</w:t>
      </w:r>
      <w:r>
        <w:rPr>
          <w:rFonts w:ascii="Times New Roman" w:hAnsi="Times New Roman"/>
          <w:sz w:val="24"/>
        </w:rPr>
        <w:t xml:space="preserve">Кроме того, при формировании местного бюджета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годы учитывались предложения распорядителей средств местного бюджета </w:t>
      </w:r>
      <w:r>
        <w:rPr>
          <w:rFonts w:ascii="Times New Roman" w:hAnsi="Times New Roman"/>
          <w:sz w:val="24"/>
        </w:rPr>
        <w:t>главному распорядителю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перераспределению предельных объемов финансирования и предусматривались дополнительные бюджетные ассигнования в соответствии с </w:t>
      </w:r>
      <w:r>
        <w:rPr>
          <w:rFonts w:ascii="Times New Roman" w:hAnsi="Times New Roman"/>
          <w:sz w:val="24"/>
        </w:rPr>
        <w:t>показателями</w:t>
      </w:r>
      <w:r>
        <w:rPr>
          <w:rFonts w:ascii="Times New Roman" w:hAnsi="Times New Roman"/>
          <w:sz w:val="24"/>
        </w:rPr>
        <w:t xml:space="preserve"> прогноза социально-экономического развития Курской области и проекта местного бюджета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годы.</w:t>
      </w:r>
    </w:p>
    <w:p w14:paraId="62000000">
      <w:pPr>
        <w:ind w:firstLine="709" w:left="0"/>
        <w:jc w:val="both"/>
        <w:rPr>
          <w:rFonts w:ascii="Times New Roman" w:hAnsi="Times New Roman"/>
        </w:rPr>
      </w:pPr>
    </w:p>
    <w:p w14:paraId="63000000">
      <w:pPr>
        <w:ind/>
        <w:jc w:val="both"/>
        <w:rPr>
          <w:rFonts w:ascii="Times New Roman" w:hAnsi="Times New Roman"/>
          <w:b w:val="1"/>
          <w:i w:val="1"/>
          <w:color w:val="000000"/>
          <w:sz w:val="28"/>
          <w:u w:val="single"/>
        </w:rPr>
      </w:pPr>
      <w:bookmarkStart w:id="1" w:name="bookmark0"/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II. Отдельные особенности планирования бюджетных ассигнований</w:t>
      </w:r>
      <w:bookmarkEnd w:id="1"/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 местного бюджета</w:t>
      </w:r>
    </w:p>
    <w:p w14:paraId="64000000">
      <w:pPr>
        <w:ind/>
        <w:jc w:val="both"/>
        <w:rPr>
          <w:rFonts w:ascii="Times New Roman" w:hAnsi="Times New Roman"/>
          <w:b w:val="1"/>
          <w:i w:val="1"/>
          <w:color w:val="FB290D"/>
          <w:u w:val="single"/>
        </w:rPr>
      </w:pPr>
    </w:p>
    <w:p w14:paraId="65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0100 «Общегосударственные вопросы»</w:t>
      </w:r>
    </w:p>
    <w:p w14:paraId="6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учетом отдельных особенностей планировались расходы местного бюджета по подра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делам:</w:t>
      </w:r>
    </w:p>
    <w:p w14:paraId="6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2025 -2027 годы в сумме 650000 рублей - ежегодно. Это расходы на заработную плату и начисления.</w:t>
      </w:r>
    </w:p>
    <w:p w14:paraId="68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69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0104 «Функционирование Правительства Российской</w:t>
      </w:r>
    </w:p>
    <w:p w14:paraId="6A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Федерации, высших исполнительных органов государственной власти</w:t>
      </w:r>
    </w:p>
    <w:p w14:paraId="6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субъектов Российской Федерации, местных администраций»</w:t>
      </w:r>
    </w:p>
    <w:p w14:paraId="6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данным подразделам планируются на содержание местных администраций (0104) </w:t>
      </w:r>
    </w:p>
    <w:p w14:paraId="6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 2025- 2027  годы в сумме 1190000  рублей ежегодно,</w:t>
      </w:r>
    </w:p>
    <w:p w14:paraId="6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т.ч.:</w:t>
      </w:r>
    </w:p>
    <w:p w14:paraId="6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предусмотрены расходы на заработную плату и начисления на 2025- 2027  годы в сумме 1000000  рублей ежегодно, что  в полном объеме покрывает расходы и  с послед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ющем доведением лимитов до установленного норматива;</w:t>
      </w:r>
    </w:p>
    <w:p w14:paraId="7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предусмотрены расходы на закупку товаров работ и услуг для муниципальных нужд  </w:t>
      </w:r>
    </w:p>
    <w:p w14:paraId="7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2025- 2027  годы в сумме 180000  рублей ежегодно, что не в полном объеме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крывает расходы и  планируется уточнение при  увеличении доходной части бюджета;</w:t>
      </w:r>
    </w:p>
    <w:p w14:paraId="7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предусмотрены расходы на уплату налога на имущество, земельного налога на 2025-2027 годы в суме 10000 руб. – ежегодно, что не в полном объеме покрывает расходы и  план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руется уточнение при  увеличении доходной части бюджета.</w:t>
      </w:r>
    </w:p>
    <w:p w14:paraId="7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При планировании данных расходов в основу положен норматив на содержание органов местного самоуправления, установленный на 2024г.- 1 842 700 руб. </w:t>
      </w:r>
    </w:p>
    <w:p w14:paraId="74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75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Подраздел 0106 «Обеспечение деятельности финансовых, налоговых и там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женных органов и органов финансового (финансово-бюджетного) надзора»</w:t>
      </w:r>
    </w:p>
    <w:p w14:paraId="7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 планируются расходы в соответствии с Соглашением с ревизио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комиссией Фатежского района и Администрацией  Молотычевского сельсовета Ф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тежского района Курской области на 2025-2027 годы в сумме 27096 рублей.</w:t>
      </w:r>
    </w:p>
    <w:p w14:paraId="7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</w:p>
    <w:p w14:paraId="78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b w:val="1"/>
          <w:color w:val="000000"/>
          <w:sz w:val="24"/>
        </w:rPr>
        <w:t>Подраздел 0111 «Резервные фонды»</w:t>
      </w:r>
    </w:p>
    <w:p w14:paraId="7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планируются расходы в соответствии с «Положением о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зервном фонде Администрации  Молотычевского сельсовета Фатежского района Курской области в объёме не более  3 %  объёма расходов бюджета муниципального образования на 2025-2027 годы в сумме 10000 рублей – ежегодно. </w:t>
      </w:r>
    </w:p>
    <w:p w14:paraId="7A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7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Подраздел 0113 «Другие общегосударственные вопросы»</w:t>
      </w:r>
    </w:p>
    <w:p w14:paraId="7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предусматриваются расходы:</w:t>
      </w:r>
    </w:p>
    <w:p w14:paraId="7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расходы на закупку товаров работ и услуг для муниципальных нужд на 2025 год  - 1232850 руб., на 2026 год - 1230107 руб., на 2027</w:t>
      </w:r>
      <w:r>
        <w:rPr>
          <w:rFonts w:ascii="Times New Roman" w:hAnsi="Times New Roman"/>
          <w:color w:val="000000"/>
          <w:sz w:val="24"/>
        </w:rPr>
        <w:t xml:space="preserve"> год - 1268798 руб.,</w:t>
      </w:r>
    </w:p>
    <w:p w14:paraId="7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уплату налога на имущество, земельного налога на 2025-2027 годы по 50000 руб. </w:t>
      </w:r>
    </w:p>
    <w:p w14:paraId="7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осуществление  публичных нормативных обязательств (средств массовой информации) на 2025-2027 годы по 50000 руб. </w:t>
      </w:r>
    </w:p>
    <w:p w14:paraId="8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по подразделу 0113 на 2025 год  - 1342850 руб., на 2026 год- 1340107 руб., на 2027</w:t>
      </w:r>
      <w:r>
        <w:rPr>
          <w:rFonts w:ascii="Times New Roman" w:hAnsi="Times New Roman"/>
          <w:color w:val="000000"/>
          <w:sz w:val="24"/>
        </w:rPr>
        <w:t xml:space="preserve"> год - 1378798 руб., что не в полном объеме покрывает расходы и  планируется уточнение при  увеличении доходной части бюджета</w:t>
      </w:r>
    </w:p>
    <w:p w14:paraId="81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82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0200 «Национальная оборона»</w:t>
      </w:r>
    </w:p>
    <w:p w14:paraId="8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0203 «Мобилизационная и вневойсковая подготовка»</w:t>
      </w:r>
    </w:p>
    <w:p w14:paraId="8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Российской Федерации по первичному воинскому</w:t>
      </w:r>
    </w:p>
    <w:p w14:paraId="8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учету на территориях, где отсутствуют военные комиссариаты на 2025 год в сумме 155873 рубля, на 2026 год в сумме 170959 рублей, 2027г. в сумме 177201 рубль.</w:t>
      </w:r>
    </w:p>
    <w:p w14:paraId="8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88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0300 «Национальная безопасность и правоохранительная деятельность»</w:t>
      </w:r>
    </w:p>
    <w:p w14:paraId="89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0310 «Защита населения и территории от чрезвычайных ситуаций пр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родного и техногенного характера, пожарная безопасность»</w:t>
      </w:r>
    </w:p>
    <w:p w14:paraId="8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Расходы на организацию и осуществление мероприятий по гражданской обороне, защите населения и территорий поселений, муниципальных образований от чрезвычайных ситу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ций, с учетом проведения профилактических и пропагандистских мероприятий по обесп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чению безопасности людей на водных объектах, защите населения от чрезвычайных сит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аций (проведение бесед с населением, оборудование пляжей стендами по профилактике несчастных случаев на воде и т.д.), которые планируются на 2025-2027 годы в сумме 10000 рублей.</w:t>
      </w:r>
    </w:p>
    <w:p w14:paraId="8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C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0400 «Национальная экономика»</w:t>
      </w:r>
    </w:p>
    <w:p w14:paraId="8D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E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Подраздел 0412 «Другие вопросы в области национальной экономики» </w:t>
      </w:r>
    </w:p>
    <w:p w14:paraId="8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2025-2027 годы, т.к. они ещё не утверждены, однако планируется внести эти расходы в бюджет на 2025-2027 годы при распределении средств бюджета района.</w:t>
      </w:r>
    </w:p>
    <w:p w14:paraId="90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91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0500 «Жилищно-коммунальное хозяйство»</w:t>
      </w:r>
    </w:p>
    <w:p w14:paraId="92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3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Подраздел 0502 «Коммунальное хозяйство» </w:t>
      </w:r>
    </w:p>
    <w:p w14:paraId="9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2025-2027 годы, однако планируется внести эти расходы в бюджет на 2025-2027 годы при распределении средств бюджета района.</w:t>
      </w:r>
    </w:p>
    <w:p w14:paraId="95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96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0800«Культура, кинематография» </w:t>
      </w:r>
    </w:p>
    <w:p w14:paraId="97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8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0801 «Культура»</w:t>
      </w:r>
    </w:p>
    <w:p w14:paraId="9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2025-2027 годы, однако планируется внести эти расходы в бюджет на 2025-2027 годы при распределении средств бюджета района.</w:t>
      </w:r>
    </w:p>
    <w:p w14:paraId="9A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9B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1000 «Социальная политика» </w:t>
      </w:r>
    </w:p>
    <w:p w14:paraId="9C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D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Подраздел 1001 «Пенсионное обеспечение»</w:t>
      </w:r>
    </w:p>
    <w:p w14:paraId="9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данному подразделу предусмотрены расходы по муниципальной программе «Соц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альная поддержка граждан в Молотычевском сельсовете Фатежского района Курской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ласти»  на доплаты по пенсиям за выслугу лет лицам, замещавшим государственные должности государственной службы Курской области, </w:t>
      </w:r>
      <w:r>
        <w:rPr>
          <w:rFonts w:ascii="Times New Roman" w:hAnsi="Times New Roman"/>
          <w:color w:val="000000"/>
          <w:sz w:val="24"/>
        </w:rPr>
        <w:t>объем которых, планируется исходя из ожидаемой численности получателей, с учетом ее изменения, а также среднего размера выплат на одного получателя, на 2025-2027 годы в сумме по 400 000 рублей, с последующим доведением до необходимых лимитов.</w:t>
      </w:r>
    </w:p>
    <w:p w14:paraId="9F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A0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ИТОГО расходов: 2025</w:t>
      </w:r>
      <w:r>
        <w:rPr>
          <w:rFonts w:ascii="Times New Roman" w:hAnsi="Times New Roman"/>
          <w:b w:val="1"/>
          <w:color w:val="000000"/>
          <w:sz w:val="24"/>
        </w:rPr>
        <w:t>г.- 3 785 819  рублей, 2026г. - 3 798 162 ру</w:t>
      </w:r>
      <w:r>
        <w:rPr>
          <w:rFonts w:ascii="Times New Roman" w:hAnsi="Times New Roman"/>
          <w:b w:val="1"/>
          <w:color w:val="000000"/>
          <w:sz w:val="24"/>
        </w:rPr>
        <w:t>б</w:t>
      </w:r>
      <w:r>
        <w:rPr>
          <w:rFonts w:ascii="Times New Roman" w:hAnsi="Times New Roman"/>
          <w:b w:val="1"/>
          <w:color w:val="000000"/>
          <w:sz w:val="24"/>
        </w:rPr>
        <w:t xml:space="preserve">ля, </w:t>
      </w:r>
    </w:p>
    <w:p w14:paraId="A1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2027г. - 3 843 095 рублей.</w:t>
      </w:r>
    </w:p>
    <w:p w14:paraId="A2000000">
      <w:pPr>
        <w:ind/>
        <w:jc w:val="both"/>
        <w:rPr>
          <w:rFonts w:ascii="Times New Roman" w:hAnsi="Times New Roman"/>
          <w:b w:val="1"/>
          <w:i w:val="1"/>
          <w:color w:val="000000"/>
          <w:u w:val="single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Gulim" w:hAnsi="Gulim"/>
      <w:color w:val="000000"/>
      <w:sz w:val="24"/>
    </w:rPr>
  </w:style>
  <w:style w:default="1" w:styleId="Style_6_ch" w:type="character">
    <w:name w:val="Normal"/>
    <w:link w:val="Style_6"/>
    <w:rPr>
      <w:rFonts w:ascii="Gulim" w:hAnsi="Gulim"/>
      <w:color w:val="000000"/>
      <w:sz w:val="24"/>
    </w:rPr>
  </w:style>
  <w:style w:styleId="Style_7" w:type="paragraph">
    <w:name w:val="Заголовок №7 (2)"/>
    <w:basedOn w:val="Style_6"/>
    <w:link w:val="Style_7_ch"/>
    <w:pPr>
      <w:spacing w:after="60" w:before="600" w:line="240" w:lineRule="atLeast"/>
      <w:ind w:hanging="1140" w:left="1140"/>
      <w:outlineLvl w:val="6"/>
    </w:pPr>
    <w:rPr>
      <w:rFonts w:ascii="Times New Roman" w:hAnsi="Times New Roman"/>
      <w:b w:val="1"/>
      <w:color w:val="000000"/>
      <w:sz w:val="26"/>
    </w:rPr>
  </w:style>
  <w:style w:styleId="Style_7_ch" w:type="character">
    <w:name w:val="Заголовок №7 (2)"/>
    <w:basedOn w:val="Style_6_ch"/>
    <w:link w:val="Style_7"/>
    <w:rPr>
      <w:rFonts w:ascii="Times New Roman" w:hAnsi="Times New Roman"/>
      <w:b w:val="1"/>
      <w:color w:val="000000"/>
      <w:sz w:val="2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№7"/>
    <w:basedOn w:val="Style_6"/>
    <w:link w:val="Style_12_ch"/>
    <w:pPr>
      <w:spacing w:before="420" w:line="320" w:lineRule="exact"/>
      <w:ind w:firstLine="660" w:left="0"/>
      <w:jc w:val="both"/>
      <w:outlineLvl w:val="6"/>
    </w:pPr>
    <w:rPr>
      <w:rFonts w:ascii="Times New Roman" w:hAnsi="Times New Roman"/>
      <w:b w:val="1"/>
      <w:i w:val="1"/>
      <w:color w:val="000000"/>
      <w:sz w:val="27"/>
    </w:rPr>
  </w:style>
  <w:style w:styleId="Style_12_ch" w:type="character">
    <w:name w:val="Заголовок №7"/>
    <w:basedOn w:val="Style_6_ch"/>
    <w:link w:val="Style_12"/>
    <w:rPr>
      <w:rFonts w:ascii="Times New Roman" w:hAnsi="Times New Roman"/>
      <w:b w:val="1"/>
      <w:i w:val="1"/>
      <w:color w:val="000000"/>
      <w:sz w:val="27"/>
    </w:rPr>
  </w:style>
  <w:style w:styleId="Style_13" w:type="paragraph">
    <w:name w:val="Знак Знак2"/>
    <w:basedOn w:val="Style_6"/>
    <w:link w:val="Style_13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13_ch" w:type="character">
    <w:name w:val="Знак Знак2"/>
    <w:basedOn w:val="Style_6_ch"/>
    <w:link w:val="Style_13"/>
    <w:rPr>
      <w:rFonts w:ascii="Tahoma" w:hAnsi="Tahoma"/>
      <w:color w:val="000000"/>
      <w:sz w:val="20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"/>
    <w:basedOn w:val="Style_6"/>
    <w:link w:val="Style_15_ch"/>
    <w:pPr>
      <w:spacing w:line="324" w:lineRule="exact"/>
      <w:ind w:hanging="840" w:left="840"/>
      <w:jc w:val="center"/>
    </w:pPr>
    <w:rPr>
      <w:rFonts w:ascii="Times New Roman" w:hAnsi="Times New Roman"/>
      <w:color w:val="000000"/>
      <w:sz w:val="26"/>
    </w:rPr>
  </w:style>
  <w:style w:styleId="Style_15_ch" w:type="character">
    <w:name w:val="Body Text"/>
    <w:basedOn w:val="Style_6_ch"/>
    <w:link w:val="Style_15"/>
    <w:rPr>
      <w:rFonts w:ascii="Times New Roman" w:hAnsi="Times New Roman"/>
      <w:color w:val="000000"/>
      <w:sz w:val="26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 Indent"/>
    <w:basedOn w:val="Style_6"/>
    <w:link w:val="Style_19_ch"/>
    <w:pPr>
      <w:spacing w:after="120"/>
      <w:ind w:firstLine="0" w:left="283"/>
    </w:pPr>
  </w:style>
  <w:style w:styleId="Style_19_ch" w:type="character">
    <w:name w:val="Body Text Indent"/>
    <w:basedOn w:val="Style_6_ch"/>
    <w:link w:val="Style_19"/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Знак Знак5"/>
    <w:basedOn w:val="Style_6"/>
    <w:link w:val="Style_21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1_ch" w:type="character">
    <w:name w:val="Знак Знак5"/>
    <w:basedOn w:val="Style_6_ch"/>
    <w:link w:val="Style_21"/>
    <w:rPr>
      <w:rFonts w:ascii="Tahoma" w:hAnsi="Tahoma"/>
      <w:color w:val="000000"/>
      <w:sz w:val="2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" w:type="paragraph">
    <w:name w:val="Знак"/>
    <w:basedOn w:val="Style_6"/>
    <w:link w:val="Style_2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2_ch" w:type="character">
    <w:name w:val="Знак"/>
    <w:basedOn w:val="Style_6_ch"/>
    <w:link w:val="Style_2"/>
    <w:rPr>
      <w:rFonts w:ascii="Tahoma" w:hAnsi="Tahoma"/>
      <w:color w:val="000000"/>
      <w:sz w:val="20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Основной текст (2)"/>
    <w:basedOn w:val="Style_6"/>
    <w:link w:val="Style_3_ch"/>
    <w:pPr>
      <w:spacing w:before="840" w:line="320" w:lineRule="exact"/>
      <w:ind/>
      <w:jc w:val="center"/>
    </w:pPr>
    <w:rPr>
      <w:rFonts w:ascii="Times New Roman" w:hAnsi="Times New Roman"/>
      <w:b w:val="1"/>
      <w:color w:val="000000"/>
      <w:sz w:val="26"/>
    </w:rPr>
  </w:style>
  <w:style w:styleId="Style_3_ch" w:type="character">
    <w:name w:val="Основной текст (2)"/>
    <w:basedOn w:val="Style_6_ch"/>
    <w:link w:val="Style_3"/>
    <w:rPr>
      <w:rFonts w:ascii="Times New Roman" w:hAnsi="Times New Roman"/>
      <w:b w:val="1"/>
      <w:color w:val="000000"/>
      <w:sz w:val="26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5" w:type="paragraph">
    <w:name w:val="heading 2"/>
    <w:next w:val="Style_6"/>
    <w:link w:val="Style_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_ch" w:type="character">
    <w:name w:val="heading 2"/>
    <w:link w:val="Style_5"/>
    <w:rPr>
      <w:rFonts w:ascii="XO Thames" w:hAnsi="XO Thames"/>
      <w:b w:val="1"/>
      <w:sz w:val="28"/>
    </w:rPr>
  </w:style>
  <w:style w:styleId="Style_34" w:type="paragraph">
    <w:name w:val=" Знак2 Знак Знак Знак Знак"/>
    <w:basedOn w:val="Style_6"/>
    <w:link w:val="Style_34_ch"/>
    <w:pPr>
      <w:spacing w:afterAutospacing="on" w:beforeAutospacing="on"/>
      <w:ind/>
    </w:pPr>
    <w:rPr>
      <w:rFonts w:ascii="Tahoma" w:hAnsi="Tahoma"/>
      <w:color w:val="000000"/>
      <w:sz w:val="20"/>
    </w:rPr>
  </w:style>
  <w:style w:styleId="Style_34_ch" w:type="character">
    <w:name w:val=" Знак2 Знак Знак Знак Знак"/>
    <w:basedOn w:val="Style_6_ch"/>
    <w:link w:val="Style_34"/>
    <w:rPr>
      <w:rFonts w:ascii="Tahoma" w:hAnsi="Tahoma"/>
      <w:color w:val="000000"/>
      <w:sz w:val="20"/>
    </w:rPr>
  </w:style>
  <w:style w:styleId="Style_35" w:type="paragraph">
    <w:name w:val="Заголовок №7 (2) + 13"/>
    <w:link w:val="Style_35_ch"/>
    <w:rPr>
      <w:b w:val="1"/>
      <w:i w:val="1"/>
      <w:sz w:val="27"/>
    </w:rPr>
  </w:style>
  <w:style w:styleId="Style_35_ch" w:type="character">
    <w:name w:val="Заголовок №7 (2) + 13"/>
    <w:link w:val="Style_35"/>
    <w:rPr>
      <w:b w:val="1"/>
      <w:i w:val="1"/>
      <w:sz w:val="27"/>
    </w:rPr>
  </w:style>
  <w:style w:styleId="Style_36" w:type="paragraph">
    <w:name w:val="Plain Text"/>
    <w:basedOn w:val="Style_6"/>
    <w:link w:val="Style_36_ch"/>
    <w:rPr>
      <w:rFonts w:ascii="Courier New" w:hAnsi="Courier New"/>
      <w:color w:val="000000"/>
    </w:rPr>
  </w:style>
  <w:style w:styleId="Style_36_ch" w:type="character">
    <w:name w:val="Plain Text"/>
    <w:basedOn w:val="Style_6_ch"/>
    <w:link w:val="Style_36"/>
    <w:rPr>
      <w:rFonts w:ascii="Courier New" w:hAnsi="Courier New"/>
      <w:color w:val="000000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2024-11-08T15:35:56Z</dcterms:modified>
</cp:coreProperties>
</file>