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АДМИНИСТРАЦИЯ</w:t>
      </w:r>
    </w:p>
    <w:p w14:paraId="02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МОЛОТЫЧЕВСКОГО</w:t>
      </w:r>
      <w:r>
        <w:rPr>
          <w:b w:val="1"/>
          <w:color w:val="000000"/>
          <w:spacing w:val="-9"/>
          <w:sz w:val="28"/>
        </w:rPr>
        <w:t xml:space="preserve"> СЕЛЬСОВЕТА</w:t>
      </w:r>
    </w:p>
    <w:p w14:paraId="03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4000000">
      <w:pPr>
        <w:rPr>
          <w:b w:val="1"/>
          <w:color w:val="000000"/>
          <w:spacing w:val="-9"/>
          <w:sz w:val="28"/>
        </w:rPr>
      </w:pPr>
    </w:p>
    <w:p w14:paraId="05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ПОСТАНОВЛЕНИЕ</w:t>
      </w:r>
    </w:p>
    <w:p w14:paraId="06000000">
      <w:pPr>
        <w:ind/>
        <w:jc w:val="center"/>
        <w:rPr>
          <w:b w:val="1"/>
          <w:color w:val="000000"/>
          <w:spacing w:val="-9"/>
          <w:sz w:val="28"/>
        </w:rPr>
      </w:pPr>
    </w:p>
    <w:p w14:paraId="07000000">
      <w:pPr>
        <w:ind/>
        <w:jc w:val="center"/>
        <w:rPr>
          <w:b w:val="1"/>
          <w:color w:val="000000"/>
          <w:spacing w:val="-9"/>
          <w:sz w:val="28"/>
        </w:rPr>
      </w:pPr>
    </w:p>
    <w:p w14:paraId="08000000">
      <w:pPr>
        <w:ind/>
        <w:jc w:val="center"/>
        <w:rPr>
          <w:b w:val="1"/>
          <w:color w:val="000000"/>
          <w:spacing w:val="-9"/>
          <w:sz w:val="28"/>
        </w:rPr>
      </w:pPr>
    </w:p>
    <w:p w14:paraId="09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от </w:t>
      </w:r>
      <w:r>
        <w:rPr>
          <w:b w:val="1"/>
          <w:sz w:val="28"/>
        </w:rPr>
        <w:t>0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но</w:t>
      </w:r>
      <w:r>
        <w:rPr>
          <w:b w:val="1"/>
          <w:sz w:val="28"/>
        </w:rPr>
        <w:t>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                                     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48</w:t>
      </w:r>
    </w:p>
    <w:p w14:paraId="0B000000">
      <w:pPr>
        <w:rPr>
          <w:sz w:val="28"/>
        </w:rPr>
      </w:pPr>
    </w:p>
    <w:p w14:paraId="0C000000"/>
    <w:p w14:paraId="0D000000">
      <w:pPr>
        <w:rPr>
          <w:b w:val="1"/>
        </w:rPr>
      </w:pPr>
      <w:r>
        <w:rPr>
          <w:b w:val="1"/>
        </w:rPr>
        <w:t>«Об утверждении</w:t>
      </w:r>
      <w:r>
        <w:rPr>
          <w:b w:val="1"/>
        </w:rPr>
        <w:t xml:space="preserve"> проектов</w:t>
      </w:r>
      <w:r>
        <w:rPr>
          <w:b w:val="1"/>
        </w:rPr>
        <w:t xml:space="preserve"> </w:t>
      </w:r>
      <w:r>
        <w:rPr>
          <w:b w:val="1"/>
        </w:rPr>
        <w:t xml:space="preserve"> программ</w:t>
      </w:r>
      <w:r>
        <w:rPr>
          <w:b w:val="1"/>
        </w:rPr>
        <w:t xml:space="preserve"> </w:t>
      </w:r>
    </w:p>
    <w:p w14:paraId="0E000000">
      <w:pPr>
        <w:rPr>
          <w:b w:val="1"/>
        </w:rPr>
      </w:pPr>
      <w:r>
        <w:rPr>
          <w:b w:val="1"/>
        </w:rPr>
        <w:t>м</w:t>
      </w:r>
      <w:r>
        <w:rPr>
          <w:b w:val="1"/>
        </w:rPr>
        <w:t xml:space="preserve">униципальных </w:t>
      </w:r>
      <w:r>
        <w:rPr>
          <w:b w:val="1"/>
        </w:rPr>
        <w:t>внутренних заимствований</w:t>
      </w:r>
    </w:p>
    <w:p w14:paraId="0F000000">
      <w:pPr>
        <w:rPr>
          <w:b w:val="1"/>
        </w:rPr>
      </w:pPr>
      <w:r>
        <w:rPr>
          <w:b w:val="1"/>
        </w:rPr>
        <w:t xml:space="preserve">на очередной финансовый </w:t>
      </w:r>
      <w:r>
        <w:rPr>
          <w:b w:val="1"/>
        </w:rPr>
        <w:t>2025</w:t>
      </w:r>
      <w:r>
        <w:rPr>
          <w:b w:val="1"/>
        </w:rPr>
        <w:t xml:space="preserve"> год и плановый период </w:t>
      </w:r>
      <w:r>
        <w:rPr>
          <w:b w:val="1"/>
        </w:rPr>
        <w:t>2026</w:t>
      </w:r>
      <w:r>
        <w:rPr>
          <w:b w:val="1"/>
        </w:rPr>
        <w:t>-</w:t>
      </w:r>
      <w:r>
        <w:rPr>
          <w:b w:val="1"/>
        </w:rPr>
        <w:t>2027</w:t>
      </w:r>
      <w:r>
        <w:rPr>
          <w:b w:val="1"/>
        </w:rPr>
        <w:t xml:space="preserve"> годов</w:t>
      </w:r>
      <w:r>
        <w:rPr>
          <w:b w:val="1"/>
        </w:rPr>
        <w:t>».</w:t>
      </w:r>
    </w:p>
    <w:p w14:paraId="10000000">
      <w:pPr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В соответствии с Бюджетным кодексом Российской Федерации,  Положения о бюджетном процессе в Молотычевском сельсовете Фатежского района Курской области, утвержденного Решением Собрания депутатов Молотычевского сельсовета Фатежского района Курской области от </w:t>
      </w:r>
      <w:r>
        <w:rPr>
          <w:sz w:val="28"/>
        </w:rPr>
        <w:t>30 июл</w:t>
      </w:r>
      <w:r>
        <w:rPr>
          <w:sz w:val="28"/>
        </w:rPr>
        <w:t xml:space="preserve">я </w:t>
      </w:r>
      <w:r>
        <w:rPr>
          <w:sz w:val="28"/>
        </w:rPr>
        <w:t>2021</w:t>
      </w:r>
      <w:r>
        <w:rPr>
          <w:sz w:val="28"/>
        </w:rPr>
        <w:t xml:space="preserve"> года №</w:t>
      </w:r>
      <w:r>
        <w:rPr>
          <w:sz w:val="28"/>
        </w:rPr>
        <w:t>43</w:t>
      </w:r>
      <w:r>
        <w:rPr>
          <w:sz w:val="28"/>
        </w:rPr>
        <w:t xml:space="preserve">  «Об утверждении Положения о бюджетном процессе в муниципальном образовании «Молотычевский сельсовет» Фатежского района  Курской области» </w:t>
      </w:r>
      <w:r>
        <w:rPr>
          <w:rFonts w:ascii="Times New Roman" w:hAnsi="Times New Roman"/>
          <w:sz w:val="28"/>
        </w:rPr>
        <w:t xml:space="preserve">(в редакции решения 23.08.2023г №90)    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ю:</w:t>
      </w:r>
    </w:p>
    <w:p w14:paraId="12000000">
      <w:pPr>
        <w:ind/>
        <w:jc w:val="both"/>
        <w:rPr>
          <w:sz w:val="28"/>
        </w:rPr>
      </w:pPr>
    </w:p>
    <w:p w14:paraId="13000000">
      <w:pPr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 проект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 муниципальных внутренних заимствований  на очередной финансовый </w:t>
      </w:r>
      <w:r>
        <w:rPr>
          <w:sz w:val="28"/>
        </w:rPr>
        <w:t>2025</w:t>
      </w:r>
      <w:r>
        <w:rPr>
          <w:sz w:val="28"/>
        </w:rPr>
        <w:t xml:space="preserve"> год и плановый период </w:t>
      </w:r>
      <w:r>
        <w:rPr>
          <w:sz w:val="28"/>
        </w:rPr>
        <w:t>2026</w:t>
      </w:r>
      <w:r>
        <w:rPr>
          <w:sz w:val="28"/>
        </w:rPr>
        <w:t>-</w:t>
      </w:r>
      <w:r>
        <w:rPr>
          <w:sz w:val="28"/>
        </w:rPr>
        <w:t>2027</w:t>
      </w:r>
      <w:r>
        <w:rPr>
          <w:sz w:val="28"/>
        </w:rPr>
        <w:t xml:space="preserve"> годов </w:t>
      </w:r>
      <w:r>
        <w:rPr>
          <w:sz w:val="28"/>
        </w:rPr>
        <w:t xml:space="preserve">по администрации Молотычевского </w:t>
      </w:r>
      <w:r>
        <w:rPr>
          <w:sz w:val="28"/>
        </w:rPr>
        <w:t>сельсовета Фат</w:t>
      </w:r>
      <w:r>
        <w:rPr>
          <w:sz w:val="28"/>
        </w:rPr>
        <w:t xml:space="preserve">ежского района </w:t>
      </w:r>
      <w:r>
        <w:rPr>
          <w:sz w:val="28"/>
        </w:rPr>
        <w:t xml:space="preserve"> (проекты прилагаю</w:t>
      </w:r>
      <w:r>
        <w:rPr>
          <w:sz w:val="28"/>
        </w:rPr>
        <w:t>тся)</w:t>
      </w:r>
      <w:r>
        <w:rPr>
          <w:sz w:val="28"/>
        </w:rPr>
        <w:t>.</w:t>
      </w:r>
    </w:p>
    <w:p w14:paraId="14000000">
      <w:pPr>
        <w:rPr>
          <w:sz w:val="28"/>
        </w:rPr>
      </w:pPr>
    </w:p>
    <w:p w14:paraId="15000000">
      <w:pPr>
        <w:rPr>
          <w:sz w:val="28"/>
        </w:rPr>
      </w:pPr>
      <w:r>
        <w:rPr>
          <w:sz w:val="28"/>
        </w:rPr>
        <w:t xml:space="preserve"> 2.Постановление вступает в силу со дня его подписания.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Молотычевского сельсовета</w:t>
      </w:r>
    </w:p>
    <w:p w14:paraId="1B000000">
      <w:pPr>
        <w:rPr>
          <w:sz w:val="28"/>
        </w:rPr>
      </w:pPr>
      <w:r>
        <w:rPr>
          <w:sz w:val="28"/>
        </w:rPr>
        <w:t xml:space="preserve">Фатежского района           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>О</w:t>
      </w:r>
      <w:r>
        <w:rPr>
          <w:sz w:val="28"/>
        </w:rPr>
        <w:t>.М.</w:t>
      </w:r>
      <w:r>
        <w:rPr>
          <w:sz w:val="28"/>
        </w:rPr>
        <w:t xml:space="preserve"> Кретова</w:t>
      </w:r>
    </w:p>
    <w:p w14:paraId="1C000000">
      <w:pPr>
        <w:rPr>
          <w:sz w:val="28"/>
        </w:rPr>
      </w:pPr>
      <w:r>
        <w:rPr>
          <w:sz w:val="28"/>
        </w:rPr>
        <w:t xml:space="preserve"> 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tbl>
      <w:tblPr>
        <w:tblStyle w:val="Style_1"/>
        <w:tblInd w:type="dxa" w:w="93"/>
        <w:tblLayout w:type="fixed"/>
      </w:tblPr>
      <w:tblGrid>
        <w:gridCol w:w="3084"/>
        <w:gridCol w:w="6799"/>
      </w:tblGrid>
      <w:tr>
        <w:trPr>
          <w:trHeight w:hRule="atLeast" w:val="315"/>
        </w:trPr>
        <w:tc>
          <w:tcPr>
            <w:tcW w:type="dxa" w:w="3084"/>
            <w:vAlign w:val="bottom"/>
          </w:tcPr>
          <w:p w14:paraId="2A000000">
            <w:pPr>
              <w:rPr>
                <w:b w:val="1"/>
              </w:rPr>
            </w:pPr>
            <w:bookmarkStart w:id="1" w:name="RANGE!B1:D42"/>
            <w:bookmarkEnd w:id="1"/>
            <w:r>
              <w:rPr>
                <w:b w:val="1"/>
              </w:rPr>
              <w:t>ПРОЕКТ</w:t>
            </w:r>
          </w:p>
          <w:p w14:paraId="2B000000">
            <w:pPr>
              <w:widowControl w:val="0"/>
              <w:ind/>
              <w:jc w:val="center"/>
            </w:pPr>
          </w:p>
        </w:tc>
        <w:tc>
          <w:tcPr>
            <w:tcW w:type="dxa" w:w="6799"/>
            <w:vMerge w:val="restart"/>
          </w:tcPr>
          <w:p w14:paraId="2C000000">
            <w:pPr>
              <w:widowControl w:val="0"/>
              <w:ind/>
              <w:jc w:val="right"/>
            </w:pPr>
            <w:r>
              <w:t xml:space="preserve">                                   Утверждено</w:t>
            </w:r>
          </w:p>
          <w:p w14:paraId="2D000000">
            <w:pPr>
              <w:ind/>
              <w:jc w:val="right"/>
            </w:pPr>
            <w:r>
              <w:t xml:space="preserve"> Постановлением  Главы </w:t>
            </w:r>
            <w:r>
              <w:t>Молотычевского</w:t>
            </w:r>
            <w:r>
              <w:t xml:space="preserve">   </w:t>
            </w:r>
          </w:p>
          <w:p w14:paraId="2E000000">
            <w:pPr>
              <w:widowControl w:val="0"/>
              <w:ind/>
              <w:jc w:val="right"/>
            </w:pPr>
            <w:r>
              <w:t xml:space="preserve"> сельсовета</w:t>
            </w:r>
            <w:r>
              <w:t xml:space="preserve"> Фатежского района</w:t>
            </w:r>
            <w:r>
              <w:t xml:space="preserve">  </w:t>
            </w:r>
          </w:p>
          <w:p w14:paraId="2F000000">
            <w:pPr>
              <w:widowControl w:val="0"/>
              <w:ind/>
              <w:jc w:val="right"/>
              <w:rPr>
                <w:sz w:val="26"/>
              </w:rPr>
            </w:pPr>
            <w:r>
              <w:t>№</w:t>
            </w:r>
            <w:r>
              <w:t xml:space="preserve"> </w:t>
            </w:r>
            <w:r>
              <w:t>48</w:t>
            </w:r>
            <w:r>
              <w:t xml:space="preserve">   от 0</w:t>
            </w:r>
            <w:r>
              <w:t>1</w:t>
            </w:r>
            <w:r>
              <w:t xml:space="preserve"> ноября </w:t>
            </w:r>
            <w:r>
              <w:t>2024</w:t>
            </w:r>
            <w:r>
              <w:t xml:space="preserve"> года</w:t>
            </w:r>
            <w:r>
              <w:rPr>
                <w:sz w:val="22"/>
              </w:rPr>
              <w:t xml:space="preserve">        </w:t>
            </w:r>
          </w:p>
        </w:tc>
      </w:tr>
      <w:tr>
        <w:trPr>
          <w:trHeight w:hRule="atLeast" w:val="347"/>
        </w:trPr>
        <w:tc>
          <w:tcPr>
            <w:tcW w:type="dxa" w:w="3084"/>
            <w:vAlign w:val="bottom"/>
          </w:tcPr>
          <w:p w14:paraId="30000000">
            <w:pPr>
              <w:widowControl w:val="0"/>
              <w:ind/>
              <w:jc w:val="center"/>
            </w:pPr>
          </w:p>
        </w:tc>
        <w:tc>
          <w:tcPr>
            <w:tcW w:type="dxa" w:w="6799"/>
            <w:gridSpan w:val="1"/>
            <w:vMerge w:val="continue"/>
          </w:tcPr>
          <w:p/>
        </w:tc>
      </w:tr>
    </w:tbl>
    <w:p w14:paraId="31000000"/>
    <w:p w14:paraId="32000000"/>
    <w:p w14:paraId="33000000">
      <w:pPr>
        <w:rPr>
          <w:sz w:val="20"/>
        </w:rPr>
      </w:pPr>
    </w:p>
    <w:p w14:paraId="34000000">
      <w:pPr>
        <w:rPr>
          <w:sz w:val="20"/>
        </w:rPr>
      </w:pPr>
    </w:p>
    <w:p w14:paraId="35000000">
      <w:pPr>
        <w:rPr>
          <w:sz w:val="20"/>
        </w:rPr>
      </w:pPr>
    </w:p>
    <w:p w14:paraId="36000000">
      <w:pPr>
        <w:rPr>
          <w:sz w:val="20"/>
        </w:rPr>
      </w:pPr>
    </w:p>
    <w:p w14:paraId="37000000">
      <w:pPr>
        <w:rPr>
          <w:sz w:val="20"/>
        </w:rPr>
      </w:pPr>
    </w:p>
    <w:p w14:paraId="38000000">
      <w:pPr>
        <w:rPr>
          <w:sz w:val="20"/>
        </w:rPr>
      </w:pPr>
    </w:p>
    <w:p w14:paraId="39000000">
      <w:pPr>
        <w:rPr>
          <w:sz w:val="20"/>
        </w:rPr>
      </w:pPr>
    </w:p>
    <w:p w14:paraId="3A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>Программа</w:t>
      </w:r>
    </w:p>
    <w:p w14:paraId="3B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 муниципальных внутренних заимствований муниципального образования «Молотычевский сельсовет» Фатежского района Курской области </w:t>
      </w:r>
    </w:p>
    <w:p w14:paraId="3C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на </w:t>
      </w:r>
      <w:r>
        <w:rPr>
          <w:b w:val="1"/>
          <w:sz w:val="32"/>
        </w:rPr>
        <w:t>2025</w:t>
      </w:r>
      <w:r>
        <w:rPr>
          <w:b w:val="1"/>
          <w:sz w:val="32"/>
        </w:rPr>
        <w:t xml:space="preserve"> год</w:t>
      </w:r>
    </w:p>
    <w:p w14:paraId="3D000000">
      <w:pPr>
        <w:ind w:firstLine="709" w:left="0"/>
        <w:jc w:val="both"/>
      </w:pPr>
    </w:p>
    <w:p w14:paraId="3E000000">
      <w:pPr>
        <w:ind w:firstLine="709" w:left="1065"/>
        <w:jc w:val="both"/>
        <w:rPr>
          <w:b w:val="1"/>
        </w:rPr>
      </w:pPr>
      <w:r>
        <w:rPr>
          <w:b w:val="1"/>
          <w:sz w:val="30"/>
        </w:rPr>
        <w:t>1.</w:t>
      </w:r>
      <w:r>
        <w:rPr>
          <w:b w:val="1"/>
          <w:sz w:val="30"/>
        </w:rPr>
        <w:t>Привлечение внутренних заимствований</w:t>
      </w:r>
    </w:p>
    <w:tbl>
      <w:tblPr>
        <w:tblStyle w:val="Style_1"/>
        <w:tblInd w:type="dxa" w:w="-459"/>
        <w:tblLayout w:type="fixed"/>
      </w:tblPr>
      <w:tblGrid>
        <w:gridCol w:w="582"/>
        <w:gridCol w:w="6429"/>
        <w:gridCol w:w="1714"/>
        <w:gridCol w:w="1710"/>
      </w:tblGrid>
      <w:tr>
        <w:trPr>
          <w:trHeight w:hRule="atLeast" w:val="1082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F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6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0000000">
            <w:pPr>
              <w:ind w:firstLine="709" w:left="0"/>
              <w:jc w:val="center"/>
            </w:pPr>
            <w:r>
              <w:t>Виды долговых обязательств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 xml:space="preserve">Объем привлечения средств в </w:t>
            </w:r>
            <w:r>
              <w:t>2025</w:t>
            </w:r>
            <w:r>
              <w:t xml:space="preserve"> году (рублей)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Предельный срок погашения долговых обязательств 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3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6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400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 w:firstLine="709" w:left="0"/>
            </w:pPr>
            <w:r>
              <w:t>-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 w:firstLine="709" w:left="0"/>
            </w:pPr>
            <w:r>
              <w:t>-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7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6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</w:pPr>
            <w:r>
              <w:t>-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B000000">
            <w:pPr>
              <w:ind w:firstLine="709" w:left="0"/>
            </w:pPr>
            <w:r>
              <w:t>3.</w:t>
            </w:r>
          </w:p>
        </w:tc>
        <w:tc>
          <w:tcPr>
            <w:tcW w:type="dxa" w:w="6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Кредиты кредитных организаций 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 w:firstLine="709" w:left="0"/>
            </w:pPr>
            <w:r>
              <w:t>-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firstLine="709" w:left="0"/>
            </w:pPr>
            <w:r>
              <w:t>-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F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6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</w:pPr>
            <w:r>
              <w:t>-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</w:pPr>
            <w:r>
              <w:t>-</w:t>
            </w:r>
          </w:p>
        </w:tc>
      </w:tr>
    </w:tbl>
    <w:p w14:paraId="53000000">
      <w:pPr>
        <w:ind w:firstLine="709" w:left="0"/>
        <w:jc w:val="both"/>
        <w:rPr>
          <w:b w:val="1"/>
          <w:sz w:val="30"/>
        </w:rPr>
      </w:pPr>
      <w:r>
        <w:rPr>
          <w:b w:val="1"/>
          <w:sz w:val="30"/>
        </w:rPr>
        <w:t>2. Погашение внутренних заимствований</w:t>
      </w:r>
    </w:p>
    <w:tbl>
      <w:tblPr>
        <w:tblStyle w:val="Style_1"/>
        <w:tblInd w:type="dxa" w:w="-459"/>
        <w:tblLayout w:type="fixed"/>
      </w:tblPr>
      <w:tblGrid>
        <w:gridCol w:w="591"/>
        <w:gridCol w:w="6473"/>
        <w:gridCol w:w="3371"/>
      </w:tblGrid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4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64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5000000">
            <w:pPr>
              <w:ind w:firstLine="709" w:left="0"/>
              <w:jc w:val="center"/>
            </w:pPr>
            <w:r>
              <w:t>Виды долговых обязательств</w:t>
            </w:r>
          </w:p>
        </w:tc>
        <w:tc>
          <w:tcPr>
            <w:tcW w:type="dxa" w:w="3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</w:pPr>
            <w:r>
              <w:t xml:space="preserve">Объем погашения средств в </w:t>
            </w:r>
            <w:r>
              <w:t>2025</w:t>
            </w:r>
            <w:r>
              <w:t xml:space="preserve"> году (рублей)</w:t>
            </w:r>
          </w:p>
        </w:tc>
      </w:tr>
      <w:tr>
        <w:trPr>
          <w:trHeight w:hRule="atLeast" w:val="473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7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64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8000000">
            <w:pPr>
              <w:ind/>
              <w:jc w:val="both"/>
            </w:pPr>
            <w:r>
              <w:t xml:space="preserve">Муниципальные ценные бумаги </w:t>
            </w:r>
          </w:p>
        </w:tc>
        <w:tc>
          <w:tcPr>
            <w:tcW w:type="dxa" w:w="3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717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A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64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B000000">
            <w:pPr>
              <w:ind/>
              <w:jc w:val="both"/>
            </w:pPr>
            <w:r>
              <w:t>Бюджетные кредиты из других бюджетов бюджетной системы Российской Федерации, в том числе:</w:t>
            </w:r>
          </w:p>
        </w:tc>
        <w:tc>
          <w:tcPr>
            <w:tcW w:type="dxa" w:w="3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335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D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64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E000000">
            <w:pPr>
              <w:ind/>
              <w:jc w:val="both"/>
            </w:pPr>
            <w:r>
              <w:t>Кредиты кредитных организаций</w:t>
            </w:r>
          </w:p>
        </w:tc>
        <w:tc>
          <w:tcPr>
            <w:tcW w:type="dxa" w:w="3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0000000">
            <w:pPr>
              <w:ind w:firstLine="709" w:left="0"/>
              <w:jc w:val="both"/>
            </w:pPr>
          </w:p>
        </w:tc>
        <w:tc>
          <w:tcPr>
            <w:tcW w:type="dxa" w:w="64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1000000">
            <w:pPr>
              <w:ind/>
              <w:jc w:val="both"/>
            </w:pPr>
            <w:r>
              <w:t>Итого</w:t>
            </w:r>
          </w:p>
        </w:tc>
        <w:tc>
          <w:tcPr>
            <w:tcW w:type="dxa" w:w="3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 w:firstLine="709" w:left="0"/>
              <w:jc w:val="center"/>
            </w:pPr>
            <w:r>
              <w:t>-</w:t>
            </w:r>
          </w:p>
        </w:tc>
      </w:tr>
    </w:tbl>
    <w:p w14:paraId="63000000">
      <w:pPr>
        <w:ind w:firstLine="709" w:left="0"/>
        <w:jc w:val="right"/>
      </w:pPr>
    </w:p>
    <w:p w14:paraId="64000000">
      <w:pPr>
        <w:ind w:firstLine="709" w:left="0"/>
        <w:jc w:val="right"/>
      </w:pPr>
    </w:p>
    <w:p w14:paraId="65000000">
      <w:pPr>
        <w:ind w:firstLine="709" w:left="0"/>
        <w:jc w:val="right"/>
      </w:pPr>
    </w:p>
    <w:p w14:paraId="66000000">
      <w:pPr>
        <w:ind w:firstLine="709" w:left="0"/>
        <w:jc w:val="right"/>
      </w:pPr>
    </w:p>
    <w:p w14:paraId="67000000">
      <w:pPr>
        <w:ind w:firstLine="709" w:left="0"/>
        <w:jc w:val="right"/>
        <w:rPr>
          <w:rFonts w:ascii="Arial" w:hAnsi="Arial"/>
        </w:rPr>
      </w:pPr>
    </w:p>
    <w:p w14:paraId="68000000">
      <w:pPr>
        <w:ind w:firstLine="709" w:left="0"/>
        <w:jc w:val="right"/>
        <w:rPr>
          <w:rFonts w:ascii="Arial" w:hAnsi="Arial"/>
        </w:rPr>
      </w:pPr>
    </w:p>
    <w:p w14:paraId="69000000">
      <w:pPr>
        <w:ind w:firstLine="709" w:left="0"/>
        <w:jc w:val="right"/>
        <w:rPr>
          <w:rFonts w:ascii="Arial" w:hAnsi="Arial"/>
        </w:rPr>
      </w:pPr>
    </w:p>
    <w:p w14:paraId="6A000000">
      <w:pPr>
        <w:rPr>
          <w:sz w:val="20"/>
        </w:rPr>
      </w:pPr>
    </w:p>
    <w:p w14:paraId="6B000000">
      <w:pPr>
        <w:rPr>
          <w:sz w:val="20"/>
        </w:rPr>
      </w:pPr>
    </w:p>
    <w:p w14:paraId="6C000000"/>
    <w:tbl>
      <w:tblPr>
        <w:tblStyle w:val="Style_1"/>
        <w:tblLayout w:type="fixed"/>
      </w:tblPr>
      <w:tblGrid>
        <w:gridCol w:w="7423"/>
        <w:gridCol w:w="2553"/>
      </w:tblGrid>
      <w:tr>
        <w:trPr>
          <w:trHeight w:hRule="atLeast" w:val="300"/>
        </w:trPr>
        <w:tc>
          <w:tcPr>
            <w:tcW w:type="dxa" w:w="7423"/>
            <w:vMerge w:val="restart"/>
            <w:vAlign w:val="bottom"/>
          </w:tcPr>
          <w:p w14:paraId="6D00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2553"/>
          </w:tcPr>
          <w:p w14:paraId="6E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  <w:tr>
        <w:trPr>
          <w:trHeight w:hRule="atLeast" w:val="330"/>
        </w:trPr>
        <w:tc>
          <w:tcPr>
            <w:tcW w:type="dxa" w:w="7423"/>
            <w:gridSpan w:val="1"/>
            <w:vMerge w:val="continue"/>
            <w:vAlign w:val="bottom"/>
          </w:tcPr>
          <w:p/>
        </w:tc>
        <w:tc>
          <w:tcPr>
            <w:tcW w:type="dxa" w:w="2553"/>
          </w:tcPr>
          <w:p w14:paraId="6F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</w:tbl>
    <w:p w14:paraId="70000000">
      <w:pPr>
        <w:tabs>
          <w:tab w:leader="none" w:pos="6960" w:val="left"/>
        </w:tabs>
        <w:ind/>
        <w:rPr>
          <w:sz w:val="20"/>
        </w:rPr>
      </w:pPr>
    </w:p>
    <w:tbl>
      <w:tblPr>
        <w:tblStyle w:val="Style_1"/>
        <w:tblInd w:type="dxa" w:w="93"/>
        <w:tblLayout w:type="fixed"/>
      </w:tblPr>
      <w:tblGrid>
        <w:gridCol w:w="3084"/>
        <w:gridCol w:w="6799"/>
      </w:tblGrid>
      <w:tr>
        <w:trPr>
          <w:trHeight w:hRule="atLeast" w:val="315"/>
        </w:trPr>
        <w:tc>
          <w:tcPr>
            <w:tcW w:type="dxa" w:w="3084"/>
            <w:vAlign w:val="bottom"/>
          </w:tcPr>
          <w:p w14:paraId="71000000">
            <w:pPr>
              <w:rPr>
                <w:b w:val="1"/>
              </w:rPr>
            </w:pPr>
            <w:r>
              <w:rPr>
                <w:b w:val="1"/>
              </w:rPr>
              <w:t>ПРОЕКТ</w:t>
            </w:r>
          </w:p>
          <w:p w14:paraId="72000000">
            <w:pPr>
              <w:widowControl w:val="0"/>
              <w:ind/>
              <w:jc w:val="center"/>
            </w:pPr>
          </w:p>
        </w:tc>
        <w:tc>
          <w:tcPr>
            <w:tcW w:type="dxa" w:w="679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ind/>
              <w:jc w:val="right"/>
            </w:pPr>
            <w:r>
              <w:t xml:space="preserve">                                   Утверждено</w:t>
            </w:r>
          </w:p>
          <w:p w14:paraId="74000000">
            <w:pPr>
              <w:ind/>
              <w:jc w:val="right"/>
            </w:pPr>
            <w:r>
              <w:t xml:space="preserve"> Постановлением  Главы </w:t>
            </w:r>
            <w:r>
              <w:t>Молотычевского</w:t>
            </w:r>
            <w:r>
              <w:t xml:space="preserve">   </w:t>
            </w:r>
          </w:p>
          <w:p w14:paraId="75000000">
            <w:pPr>
              <w:widowControl w:val="0"/>
              <w:ind/>
              <w:jc w:val="right"/>
            </w:pPr>
            <w:r>
              <w:t xml:space="preserve"> сельсовета</w:t>
            </w:r>
            <w:r>
              <w:t xml:space="preserve"> Фатежского района</w:t>
            </w:r>
            <w:r>
              <w:t xml:space="preserve">  </w:t>
            </w:r>
          </w:p>
          <w:p w14:paraId="76000000">
            <w:pPr>
              <w:widowControl w:val="0"/>
              <w:ind/>
              <w:jc w:val="right"/>
              <w:rPr>
                <w:sz w:val="26"/>
              </w:rPr>
            </w:pPr>
            <w:r>
              <w:t>№</w:t>
            </w:r>
            <w:r>
              <w:t xml:space="preserve"> </w:t>
            </w:r>
            <w:r>
              <w:t>48</w:t>
            </w:r>
            <w:r>
              <w:t xml:space="preserve">   от 0</w:t>
            </w:r>
            <w:r>
              <w:t>1</w:t>
            </w:r>
            <w:r>
              <w:t xml:space="preserve"> ноября </w:t>
            </w:r>
            <w:r>
              <w:t>2024</w:t>
            </w:r>
            <w:r>
              <w:t xml:space="preserve"> года</w:t>
            </w:r>
            <w:r>
              <w:rPr>
                <w:sz w:val="22"/>
              </w:rPr>
              <w:t xml:space="preserve">        </w:t>
            </w:r>
          </w:p>
        </w:tc>
      </w:tr>
      <w:tr>
        <w:tc>
          <w:tcPr>
            <w:tcW w:type="dxa" w:w="3084"/>
          </w:tcPr>
          <w:p/>
        </w:tc>
        <w:tc>
          <w:tcPr>
            <w:tcW w:type="dxa" w:w="679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7000000"/>
    <w:p w14:paraId="78000000"/>
    <w:p w14:paraId="79000000"/>
    <w:p w14:paraId="7A000000"/>
    <w:p w14:paraId="7B000000"/>
    <w:p w14:paraId="7C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>Программа</w:t>
      </w:r>
    </w:p>
    <w:p w14:paraId="7D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 муниципальных внутренних заимствований муниципального образования «Молотычевский сельсовет» Фатежского района Курской области на плановый период </w:t>
      </w:r>
      <w:r>
        <w:rPr>
          <w:b w:val="1"/>
          <w:sz w:val="32"/>
        </w:rPr>
        <w:t>2026</w:t>
      </w:r>
      <w:r>
        <w:rPr>
          <w:b w:val="1"/>
          <w:sz w:val="32"/>
        </w:rPr>
        <w:t xml:space="preserve"> и </w:t>
      </w:r>
      <w:r>
        <w:rPr>
          <w:b w:val="1"/>
          <w:sz w:val="32"/>
        </w:rPr>
        <w:t>2027</w:t>
      </w:r>
      <w:r>
        <w:rPr>
          <w:b w:val="1"/>
          <w:sz w:val="32"/>
        </w:rPr>
        <w:t xml:space="preserve"> годов</w:t>
      </w:r>
    </w:p>
    <w:p w14:paraId="7E000000">
      <w:pPr>
        <w:ind w:firstLine="709" w:left="0"/>
        <w:jc w:val="both"/>
      </w:pPr>
    </w:p>
    <w:p w14:paraId="7F000000">
      <w:pPr>
        <w:numPr>
          <w:ilvl w:val="0"/>
          <w:numId w:val="1"/>
        </w:numPr>
        <w:spacing w:after="200" w:line="276" w:lineRule="auto"/>
        <w:ind w:firstLine="709" w:left="0"/>
        <w:jc w:val="both"/>
        <w:rPr>
          <w:b w:val="1"/>
          <w:sz w:val="30"/>
        </w:rPr>
      </w:pPr>
      <w:r>
        <w:rPr>
          <w:b w:val="1"/>
          <w:sz w:val="30"/>
        </w:rPr>
        <w:t>Привлечение внутренних заимствований</w:t>
      </w:r>
    </w:p>
    <w:tbl>
      <w:tblPr>
        <w:tblStyle w:val="Style_1"/>
        <w:tblInd w:type="dxa" w:w="-515"/>
        <w:tblLayout w:type="fixed"/>
      </w:tblPr>
      <w:tblGrid>
        <w:gridCol w:w="520"/>
        <w:gridCol w:w="3474"/>
        <w:gridCol w:w="1597"/>
        <w:gridCol w:w="1652"/>
        <w:gridCol w:w="1597"/>
        <w:gridCol w:w="1652"/>
      </w:tblGrid>
      <w:tr>
        <w:trPr>
          <w:trHeight w:hRule="atLeast" w:val="1082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0000000">
            <w:pPr>
              <w:ind w:firstLine="709" w:left="0"/>
              <w:jc w:val="center"/>
            </w:pPr>
          </w:p>
          <w:p w14:paraId="81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2000000">
            <w:r>
              <w:t>Виды долговых обязательств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 xml:space="preserve">Объем привлечения средств в </w:t>
            </w:r>
            <w:r>
              <w:t>2026</w:t>
            </w:r>
            <w:r>
              <w:t xml:space="preserve"> году (рублей)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Предельный срок погашения долговых обязательств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 xml:space="preserve">Объем привлечения средств в </w:t>
            </w:r>
            <w:r>
              <w:t>2027</w:t>
            </w:r>
            <w:r>
              <w:t xml:space="preserve"> году (рублей)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Предельный срок погашения долговых обязательств</w:t>
            </w:r>
          </w:p>
        </w:tc>
      </w:tr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7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D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00000">
            <w:pPr>
              <w:ind w:firstLine="709" w:left="0"/>
            </w:pPr>
            <w:r>
              <w:t>3.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Кредиты кредитных организаций 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9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34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A000000">
            <w:pPr>
              <w:ind w:firstLine="709" w:left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 w:firstLine="709" w:left="0"/>
              <w:jc w:val="center"/>
            </w:pPr>
            <w:r>
              <w:t>-</w:t>
            </w:r>
          </w:p>
        </w:tc>
      </w:tr>
    </w:tbl>
    <w:p w14:paraId="9F000000">
      <w:pPr>
        <w:ind w:firstLine="709" w:left="0"/>
        <w:jc w:val="both"/>
      </w:pPr>
      <w:r>
        <w:rPr>
          <w:b w:val="1"/>
          <w:sz w:val="30"/>
        </w:rPr>
        <w:t>2. Погашение внутренних заимствований</w:t>
      </w:r>
    </w:p>
    <w:tbl>
      <w:tblPr>
        <w:tblStyle w:val="Style_1"/>
        <w:tblInd w:type="dxa" w:w="-500"/>
        <w:tblLayout w:type="fixed"/>
      </w:tblPr>
      <w:tblGrid>
        <w:gridCol w:w="556"/>
        <w:gridCol w:w="3430"/>
        <w:gridCol w:w="3289"/>
        <w:gridCol w:w="3201"/>
      </w:tblGrid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0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1000000">
            <w:r>
              <w:t>Виды долговых обязательств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firstLine="709" w:left="0"/>
            </w:pPr>
            <w:r>
              <w:t xml:space="preserve">Объем погашения средств в </w:t>
            </w:r>
            <w:r>
              <w:t>2026</w:t>
            </w:r>
            <w:r>
              <w:t xml:space="preserve"> году (рублей)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firstLine="709" w:left="0"/>
            </w:pPr>
            <w:r>
              <w:t xml:space="preserve">Объем погашения средств в </w:t>
            </w:r>
            <w:r>
              <w:t>2027</w:t>
            </w:r>
            <w:r>
              <w:t xml:space="preserve"> году (рублей)</w:t>
            </w:r>
          </w:p>
        </w:tc>
      </w:tr>
      <w:tr>
        <w:trPr>
          <w:trHeight w:hRule="atLeast" w:val="473"/>
        </w:trP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4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5000000">
            <w:pPr>
              <w:ind/>
              <w:jc w:val="both"/>
            </w:pPr>
            <w:r>
              <w:t xml:space="preserve">Муниципальные ценные бумаги 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808"/>
        </w:trP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8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9000000">
            <w:pPr>
              <w:ind/>
              <w:jc w:val="both"/>
            </w:pPr>
            <w:r>
              <w:t>Бюджетные кредиты из других бюджетов бюджетной системы Российской Федерации, в том числе: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 w:firstLine="709" w:left="0"/>
              <w:jc w:val="center"/>
            </w:pPr>
            <w:r>
              <w:t xml:space="preserve">    -</w:t>
            </w:r>
            <w:r>
              <w:tab/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335"/>
        </w:trP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C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D000000">
            <w:pPr>
              <w:ind/>
              <w:jc w:val="both"/>
            </w:pPr>
            <w:r>
              <w:t>Кредиты кредитных организаций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0000000">
            <w:pPr>
              <w:ind w:firstLine="709" w:left="0"/>
              <w:jc w:val="both"/>
            </w:pP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1000000">
            <w:pPr>
              <w:ind w:firstLine="709" w:left="0"/>
              <w:jc w:val="both"/>
            </w:pPr>
            <w:r>
              <w:t>Итого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 w:firstLine="709" w:left="0"/>
              <w:jc w:val="center"/>
            </w:pPr>
            <w:r>
              <w:t>-</w:t>
            </w:r>
          </w:p>
        </w:tc>
      </w:tr>
    </w:tbl>
    <w:p w14:paraId="B4000000">
      <w:pPr>
        <w:ind w:firstLine="709" w:left="0"/>
        <w:jc w:val="right"/>
      </w:pPr>
    </w:p>
    <w:p w14:paraId="B5000000">
      <w:pPr>
        <w:ind w:firstLine="709" w:left="0"/>
        <w:jc w:val="right"/>
      </w:pPr>
    </w:p>
    <w:p w14:paraId="B6000000">
      <w:pPr>
        <w:ind w:firstLine="709" w:left="0"/>
        <w:jc w:val="right"/>
      </w:pPr>
    </w:p>
    <w:p w14:paraId="B7000000"/>
    <w:p w14:paraId="B8000000">
      <w:pPr>
        <w:tabs>
          <w:tab w:leader="none" w:pos="4286" w:val="left"/>
        </w:tabs>
        <w:ind/>
      </w:pPr>
      <w:r>
        <w:tab/>
      </w:r>
    </w:p>
    <w:sectPr>
      <w:pgSz w:h="16838" w:orient="portrait" w:w="11906"/>
      <w:pgMar w:bottom="1134" w:footer="708" w:gutter="0" w:header="708" w:left="1080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7_ch" w:type="character">
    <w:name w:val="heading 3"/>
    <w:basedOn w:val="Style_2_ch"/>
    <w:link w:val="Style_7"/>
    <w:rPr>
      <w:b w:val="1"/>
      <w:sz w:val="28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2"/>
    <w:next w:val="Style_2"/>
    <w:link w:val="Style_22_ch"/>
    <w:uiPriority w:val="9"/>
    <w:qFormat/>
    <w:pPr>
      <w:keepNext w:val="1"/>
      <w:ind/>
      <w:jc w:val="center"/>
      <w:outlineLvl w:val="1"/>
    </w:pPr>
  </w:style>
  <w:style w:styleId="Style_22_ch" w:type="character">
    <w:name w:val="heading 2"/>
    <w:basedOn w:val="Style_2_ch"/>
    <w:link w:val="Style_22"/>
  </w:style>
  <w:style w:styleId="Style_23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2024-10-30T15:43:22Z</dcterms:modified>
</cp:coreProperties>
</file>