
<file path=[Content_Types].xml><?xml version="1.0" encoding="utf-8"?>
<Types xmlns="http://schemas.openxmlformats.org/package/2006/content-types">
  <Default ContentType="image/x-wmf" Extension="w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b w:val="1"/>
          <w:spacing w:val="-9"/>
          <w:sz w:val="32"/>
        </w:rPr>
      </w:pPr>
      <w:r>
        <w:rPr>
          <w:b w:val="1"/>
          <w:spacing w:val="-9"/>
          <w:sz w:val="32"/>
        </w:rPr>
        <w:t>АДМИНИСТРАЦИЯ</w:t>
      </w:r>
    </w:p>
    <w:p w14:paraId="02000000">
      <w:pPr>
        <w:pStyle w:val="Style_1"/>
        <w:ind/>
        <w:jc w:val="center"/>
        <w:rPr>
          <w:b w:val="1"/>
          <w:sz w:val="32"/>
        </w:rPr>
      </w:pPr>
      <w:r>
        <w:rPr>
          <w:b w:val="1"/>
          <w:spacing w:val="-9"/>
          <w:sz w:val="32"/>
        </w:rPr>
        <w:t>Молотычевского</w:t>
      </w:r>
      <w:r>
        <w:rPr>
          <w:b w:val="1"/>
          <w:spacing w:val="-9"/>
          <w:sz w:val="32"/>
        </w:rPr>
        <w:t xml:space="preserve"> сельсовета</w:t>
      </w:r>
    </w:p>
    <w:p w14:paraId="03000000">
      <w:pPr>
        <w:pStyle w:val="Style_1"/>
        <w:ind/>
        <w:jc w:val="center"/>
        <w:rPr>
          <w:b w:val="1"/>
          <w:spacing w:val="-3"/>
          <w:sz w:val="32"/>
        </w:rPr>
      </w:pPr>
      <w:r>
        <w:rPr>
          <w:b w:val="1"/>
          <w:spacing w:val="-3"/>
          <w:sz w:val="32"/>
        </w:rPr>
        <w:t xml:space="preserve">ФАТЕЖСКОГО РАЙОНА </w:t>
      </w:r>
    </w:p>
    <w:p w14:paraId="04000000">
      <w:pPr>
        <w:pStyle w:val="Style_1"/>
        <w:ind/>
        <w:jc w:val="center"/>
        <w:rPr>
          <w:b w:val="1"/>
          <w:spacing w:val="-3"/>
          <w:sz w:val="48"/>
        </w:rPr>
      </w:pPr>
    </w:p>
    <w:p w14:paraId="05000000">
      <w:pPr>
        <w:pStyle w:val="Style_1"/>
        <w:ind/>
        <w:jc w:val="center"/>
        <w:rPr>
          <w:b w:val="1"/>
          <w:spacing w:val="-3"/>
        </w:rPr>
      </w:pPr>
    </w:p>
    <w:p w14:paraId="06000000">
      <w:pPr>
        <w:pStyle w:val="Style_1"/>
        <w:ind/>
        <w:jc w:val="center"/>
        <w:rPr>
          <w:b w:val="1"/>
          <w:spacing w:val="-3"/>
          <w:sz w:val="38"/>
        </w:rPr>
      </w:pPr>
      <w:r>
        <w:rPr>
          <w:b w:val="1"/>
          <w:spacing w:val="-3"/>
          <w:sz w:val="38"/>
        </w:rPr>
        <w:t>П О С Т А Н О В Л Е Н И Е</w:t>
      </w:r>
    </w:p>
    <w:p w14:paraId="07000000">
      <w:pPr>
        <w:spacing w:before="154" w:line="528" w:lineRule="exact"/>
        <w:ind w:right="-759"/>
        <w:rPr>
          <w:sz w:val="28"/>
        </w:rPr>
      </w:pPr>
      <w:r>
        <w:rPr>
          <w:sz w:val="28"/>
        </w:rPr>
        <w:t>от  01</w:t>
      </w:r>
      <w:r>
        <w:rPr>
          <w:sz w:val="28"/>
        </w:rPr>
        <w:t xml:space="preserve">  </w:t>
      </w:r>
      <w:r>
        <w:rPr>
          <w:sz w:val="28"/>
        </w:rPr>
        <w:t xml:space="preserve">ноября  </w:t>
      </w:r>
      <w:r>
        <w:rPr>
          <w:sz w:val="28"/>
        </w:rPr>
        <w:t>2025</w:t>
      </w:r>
      <w:r>
        <w:rPr>
          <w:sz w:val="28"/>
        </w:rPr>
        <w:t>г.</w:t>
      </w:r>
      <w:r>
        <w:rPr>
          <w:sz w:val="28"/>
        </w:rPr>
        <w:t xml:space="preserve">                                                                                 </w:t>
      </w:r>
      <w:r>
        <w:rPr>
          <w:rFonts w:ascii="Arial" w:hAnsi="Arial"/>
          <w:sz w:val="28"/>
        </w:rPr>
        <w:t xml:space="preserve"> </w:t>
      </w:r>
      <w:r>
        <w:rPr>
          <w:sz w:val="28"/>
        </w:rPr>
        <w:t>№  57</w:t>
      </w:r>
    </w:p>
    <w:tbl>
      <w:tblPr>
        <w:tblStyle w:val="Style_2"/>
        <w:tblInd w:type="dxa" w:w="108"/>
        <w:tblLayout w:type="fixed"/>
      </w:tblPr>
      <w:tblGrid>
        <w:gridCol w:w="5245"/>
      </w:tblGrid>
      <w:tr>
        <w:tc>
          <w:tcPr>
            <w:tcW w:type="dxa" w:w="5245"/>
          </w:tcPr>
          <w:p w14:paraId="08000000">
            <w:pPr>
              <w:pStyle w:val="Style_1"/>
              <w:rPr>
                <w:sz w:val="24"/>
              </w:rPr>
            </w:pPr>
          </w:p>
          <w:p w14:paraId="09000000">
            <w:pPr>
              <w:pStyle w:val="Style_1"/>
              <w:rPr>
                <w:sz w:val="24"/>
              </w:rPr>
            </w:pPr>
            <w:r>
              <w:rPr>
                <w:sz w:val="24"/>
              </w:rPr>
              <w:t xml:space="preserve">О внесении изменений </w:t>
            </w:r>
            <w:r>
              <w:rPr>
                <w:sz w:val="24"/>
              </w:rPr>
              <w:t>в  муниципальную</w:t>
            </w:r>
          </w:p>
          <w:p w14:paraId="0A000000">
            <w:pPr>
              <w:pStyle w:val="Style_1"/>
              <w:rPr>
                <w:sz w:val="24"/>
              </w:rPr>
            </w:pPr>
            <w:r>
              <w:rPr>
                <w:sz w:val="24"/>
              </w:rPr>
              <w:t xml:space="preserve">программу </w:t>
            </w:r>
            <w:r>
              <w:rPr>
                <w:sz w:val="24"/>
              </w:rPr>
              <w:t>Молотычевского</w:t>
            </w:r>
            <w:r>
              <w:rPr>
                <w:sz w:val="24"/>
              </w:rPr>
              <w:t xml:space="preserve"> сельсовета Фатежского района Курской области</w:t>
            </w:r>
          </w:p>
          <w:p w14:paraId="0B000000">
            <w:pPr>
              <w:pStyle w:val="Style_1"/>
              <w:rPr>
                <w:b w:val="1"/>
                <w:sz w:val="24"/>
              </w:rPr>
            </w:pPr>
            <w:r>
              <w:rPr>
                <w:b w:val="1"/>
                <w:sz w:val="24"/>
              </w:rPr>
              <w:t xml:space="preserve">«Защита населения и территории от чрезвычайных ситуаций, обеспечение пожарной безопасности и безопасности людей на водных объектах в </w:t>
            </w:r>
            <w:r>
              <w:rPr>
                <w:b w:val="1"/>
                <w:sz w:val="24"/>
              </w:rPr>
              <w:t>Молотычевском</w:t>
            </w:r>
            <w:r>
              <w:rPr>
                <w:b w:val="1"/>
                <w:sz w:val="24"/>
              </w:rPr>
              <w:t xml:space="preserve"> сельсовете Фатежского района Курской области»</w:t>
            </w:r>
            <w:r>
              <w:rPr>
                <w:b w:val="1"/>
                <w:sz w:val="28"/>
              </w:rPr>
              <w:t xml:space="preserve"> </w:t>
            </w:r>
            <w:r>
              <w:rPr>
                <w:b w:val="1"/>
                <w:sz w:val="24"/>
              </w:rPr>
              <w:t>на</w:t>
            </w:r>
            <w:r>
              <w:rPr>
                <w:b w:val="1"/>
                <w:sz w:val="28"/>
              </w:rPr>
              <w:t xml:space="preserve"> </w:t>
            </w:r>
            <w:r>
              <w:rPr>
                <w:b w:val="1"/>
                <w:sz w:val="24"/>
              </w:rPr>
              <w:t>(2014-2020 годы)</w:t>
            </w:r>
          </w:p>
        </w:tc>
      </w:tr>
    </w:tbl>
    <w:p w14:paraId="0C000000">
      <w:pPr>
        <w:spacing w:before="307" w:line="317" w:lineRule="exact"/>
        <w:ind w:firstLine="720" w:left="0" w:right="-18"/>
        <w:jc w:val="both"/>
        <w:rPr>
          <w:rFonts w:ascii="Times New Roman" w:hAnsi="Times New Roman"/>
          <w:sz w:val="28"/>
        </w:rPr>
      </w:pPr>
    </w:p>
    <w:p w14:paraId="0D000000">
      <w:pPr>
        <w:spacing w:before="307" w:line="317" w:lineRule="exact"/>
        <w:ind w:firstLine="720" w:left="0" w:right="-18"/>
        <w:jc w:val="both"/>
        <w:rPr>
          <w:rFonts w:ascii="Times New Roman" w:hAnsi="Times New Roman"/>
        </w:rPr>
      </w:pPr>
      <w:r>
        <w:rPr>
          <w:rFonts w:ascii="Times New Roman" w:hAnsi="Times New Roman"/>
          <w:sz w:val="28"/>
        </w:rPr>
        <w:t xml:space="preserve">В   соответствии   </w:t>
      </w:r>
      <w:r>
        <w:rPr>
          <w:rFonts w:ascii="Times New Roman" w:hAnsi="Times New Roman"/>
          <w:sz w:val="28"/>
        </w:rPr>
        <w:t>со  статьей</w:t>
      </w:r>
      <w:r>
        <w:rPr>
          <w:rFonts w:ascii="Times New Roman" w:hAnsi="Times New Roman"/>
          <w:sz w:val="28"/>
        </w:rPr>
        <w:t xml:space="preserve">   </w:t>
      </w:r>
      <w:r>
        <w:rPr>
          <w:rFonts w:ascii="Times New Roman" w:hAnsi="Times New Roman"/>
          <w:sz w:val="28"/>
        </w:rPr>
        <w:t>179  Бюджетного</w:t>
      </w:r>
      <w:r>
        <w:rPr>
          <w:rFonts w:ascii="Times New Roman" w:hAnsi="Times New Roman"/>
          <w:sz w:val="28"/>
        </w:rPr>
        <w:t xml:space="preserve">   </w:t>
      </w:r>
      <w:r>
        <w:rPr>
          <w:rFonts w:ascii="Times New Roman" w:hAnsi="Times New Roman"/>
          <w:sz w:val="28"/>
        </w:rPr>
        <w:t>кодекса  Российской</w:t>
      </w:r>
      <w:r>
        <w:rPr>
          <w:rFonts w:ascii="Times New Roman" w:hAnsi="Times New Roman"/>
          <w:sz w:val="28"/>
        </w:rPr>
        <w:t xml:space="preserve"> </w:t>
      </w:r>
      <w:r>
        <w:rPr>
          <w:rFonts w:ascii="Times New Roman" w:hAnsi="Times New Roman"/>
          <w:sz w:val="28"/>
        </w:rPr>
        <w:t>Федерации  Администрация</w:t>
      </w:r>
      <w:r>
        <w:rPr>
          <w:rFonts w:ascii="Times New Roman" w:hAnsi="Times New Roman"/>
          <w:sz w:val="28"/>
        </w:rPr>
        <w:t xml:space="preserve"> </w:t>
      </w:r>
      <w:r>
        <w:rPr>
          <w:rFonts w:ascii="Times New Roman" w:hAnsi="Times New Roman"/>
          <w:sz w:val="28"/>
        </w:rPr>
        <w:t>Молотычевского</w:t>
      </w:r>
      <w:r>
        <w:rPr>
          <w:rFonts w:ascii="Times New Roman" w:hAnsi="Times New Roman"/>
          <w:sz w:val="28"/>
        </w:rPr>
        <w:t xml:space="preserve"> сельсовета Фатежского района Курской области ПОСТАНОВЛЯЕТ:</w:t>
      </w:r>
    </w:p>
    <w:p w14:paraId="0E000000">
      <w:pPr>
        <w:tabs>
          <w:tab w:leader="none" w:pos="1286" w:val="left"/>
        </w:tabs>
        <w:spacing w:before="10" w:line="317" w:lineRule="exact"/>
        <w:ind w:right="-18"/>
        <w:jc w:val="both"/>
        <w:rPr>
          <w:rFonts w:ascii="Times New Roman" w:hAnsi="Times New Roman"/>
          <w:sz w:val="28"/>
        </w:rPr>
      </w:pPr>
      <w:r>
        <w:rPr>
          <w:rFonts w:ascii="Times New Roman" w:hAnsi="Times New Roman"/>
          <w:spacing w:val="-29"/>
          <w:sz w:val="28"/>
        </w:rPr>
        <w:t xml:space="preserve">                     1. </w:t>
      </w:r>
      <w:r>
        <w:rPr>
          <w:rFonts w:ascii="Times New Roman" w:hAnsi="Times New Roman"/>
          <w:spacing w:val="-2"/>
          <w:sz w:val="28"/>
        </w:rPr>
        <w:t xml:space="preserve">Внести изменение в    прилагаемую   муниципальную   программу </w:t>
      </w:r>
      <w:r>
        <w:rPr>
          <w:rFonts w:ascii="Times New Roman" w:hAnsi="Times New Roman"/>
          <w:spacing w:val="-2"/>
          <w:sz w:val="28"/>
        </w:rPr>
        <w:t>Молотычевкого</w:t>
      </w:r>
      <w:r>
        <w:rPr>
          <w:rFonts w:ascii="Times New Roman" w:hAnsi="Times New Roman"/>
          <w:spacing w:val="-2"/>
          <w:sz w:val="28"/>
        </w:rPr>
        <w:t xml:space="preserve"> сельсовета Фатежского района  Курской </w:t>
      </w:r>
      <w:r>
        <w:rPr>
          <w:rFonts w:ascii="Times New Roman" w:hAnsi="Times New Roman"/>
          <w:sz w:val="28"/>
        </w:rPr>
        <w:t xml:space="preserve">области «Защита населения и территории от чрезвычайных ситуаций, обеспечения пожарной безопасности  и обеспечение безопасности людей на водных объектах в </w:t>
      </w:r>
      <w:r>
        <w:rPr>
          <w:rFonts w:ascii="Times New Roman" w:hAnsi="Times New Roman"/>
          <w:sz w:val="28"/>
        </w:rPr>
        <w:t>Молотычевском</w:t>
      </w:r>
      <w:r>
        <w:rPr>
          <w:rFonts w:ascii="Times New Roman" w:hAnsi="Times New Roman"/>
          <w:sz w:val="28"/>
        </w:rPr>
        <w:t xml:space="preserve"> сельсовете Фатежского района Курской области»</w:t>
      </w:r>
      <w:r>
        <w:rPr>
          <w:rFonts w:ascii="Times New Roman" w:hAnsi="Times New Roman"/>
          <w:b w:val="1"/>
          <w:sz w:val="28"/>
        </w:rPr>
        <w:t xml:space="preserve"> </w:t>
      </w:r>
      <w:r>
        <w:rPr>
          <w:rFonts w:ascii="Times New Roman" w:hAnsi="Times New Roman"/>
          <w:sz w:val="28"/>
        </w:rPr>
        <w:t>на</w:t>
      </w:r>
      <w:r>
        <w:rPr>
          <w:rFonts w:ascii="Times New Roman" w:hAnsi="Times New Roman"/>
          <w:b w:val="1"/>
          <w:sz w:val="28"/>
        </w:rPr>
        <w:t xml:space="preserve"> </w:t>
      </w:r>
      <w:r>
        <w:rPr>
          <w:rFonts w:ascii="Times New Roman" w:hAnsi="Times New Roman"/>
          <w:sz w:val="28"/>
        </w:rPr>
        <w:t>(2014-2020 годы) и продлить срок дейст</w:t>
      </w:r>
      <w:r>
        <w:rPr>
          <w:rFonts w:ascii="Times New Roman" w:hAnsi="Times New Roman"/>
          <w:sz w:val="28"/>
        </w:rPr>
        <w:t xml:space="preserve">вия программы до 31 декабря </w:t>
      </w:r>
      <w:r>
        <w:rPr>
          <w:rFonts w:ascii="Times New Roman" w:hAnsi="Times New Roman"/>
          <w:sz w:val="28"/>
        </w:rPr>
        <w:t>2028</w:t>
      </w:r>
      <w:r>
        <w:rPr>
          <w:rFonts w:ascii="Times New Roman" w:hAnsi="Times New Roman"/>
          <w:sz w:val="28"/>
        </w:rPr>
        <w:t xml:space="preserve"> года.</w:t>
      </w:r>
    </w:p>
    <w:p w14:paraId="0F000000">
      <w:pPr>
        <w:tabs>
          <w:tab w:leader="none" w:pos="1373" w:val="left"/>
          <w:tab w:leader="none" w:pos="9196" w:val="left"/>
        </w:tabs>
        <w:spacing w:line="317" w:lineRule="exact"/>
        <w:ind w:right="-18"/>
        <w:jc w:val="both"/>
        <w:rPr>
          <w:rFonts w:ascii="Times New Roman" w:hAnsi="Times New Roman"/>
          <w:spacing w:val="-14"/>
          <w:sz w:val="28"/>
        </w:rPr>
      </w:pPr>
      <w:r>
        <w:rPr>
          <w:rFonts w:ascii="Times New Roman" w:hAnsi="Times New Roman"/>
          <w:sz w:val="28"/>
        </w:rPr>
        <w:t xml:space="preserve">           2. Контроль за выполнением настоящего постановления оставляю за собой. </w:t>
      </w:r>
    </w:p>
    <w:p w14:paraId="10000000">
      <w:pPr>
        <w:widowControl w:val="0"/>
        <w:numPr>
          <w:ilvl w:val="0"/>
          <w:numId w:val="1"/>
        </w:numPr>
        <w:tabs>
          <w:tab w:leader="none" w:pos="1373" w:val="left"/>
        </w:tabs>
        <w:spacing w:after="0" w:line="317" w:lineRule="exact"/>
        <w:ind w:firstLine="701" w:left="211" w:right="124"/>
        <w:jc w:val="both"/>
        <w:rPr>
          <w:rFonts w:ascii="Times New Roman" w:hAnsi="Times New Roman"/>
          <w:spacing w:val="-15"/>
          <w:sz w:val="28"/>
        </w:rPr>
      </w:pPr>
      <w:r>
        <w:rPr>
          <w:rFonts w:ascii="Times New Roman" w:hAnsi="Times New Roman"/>
          <w:sz w:val="28"/>
        </w:rPr>
        <w:t xml:space="preserve">Настоящее </w:t>
      </w:r>
      <w:r>
        <w:rPr>
          <w:rFonts w:ascii="Times New Roman" w:hAnsi="Times New Roman"/>
          <w:sz w:val="28"/>
        </w:rPr>
        <w:t>постановление  вступает</w:t>
      </w:r>
      <w:r>
        <w:rPr>
          <w:rFonts w:ascii="Times New Roman" w:hAnsi="Times New Roman"/>
          <w:sz w:val="28"/>
        </w:rPr>
        <w:t xml:space="preserve"> в силу с момента подписания и подлежит обнародованию в установленном порядке.</w:t>
      </w:r>
    </w:p>
    <w:p w14:paraId="11000000">
      <w:pPr>
        <w:tabs>
          <w:tab w:leader="none" w:pos="1373" w:val="left"/>
        </w:tabs>
        <w:spacing w:line="317" w:lineRule="exact"/>
        <w:ind w:right="124"/>
        <w:jc w:val="both"/>
        <w:rPr>
          <w:rFonts w:ascii="Times New Roman" w:hAnsi="Times New Roman"/>
          <w:spacing w:val="-15"/>
          <w:sz w:val="28"/>
        </w:rPr>
      </w:pPr>
      <w:r>
        <w:rPr>
          <w:rFonts w:ascii="Times New Roman" w:hAnsi="Times New Roman"/>
          <w:spacing w:val="-15"/>
          <w:sz w:val="28"/>
        </w:rPr>
        <w:t xml:space="preserve"> </w:t>
      </w:r>
    </w:p>
    <w:p w14:paraId="12000000">
      <w:pPr>
        <w:tabs>
          <w:tab w:leader="none" w:pos="1373" w:val="left"/>
        </w:tabs>
        <w:spacing w:line="317" w:lineRule="exact"/>
        <w:ind w:right="124"/>
        <w:jc w:val="both"/>
        <w:rPr>
          <w:rFonts w:ascii="Times New Roman" w:hAnsi="Times New Roman"/>
          <w:sz w:val="28"/>
        </w:rPr>
      </w:pPr>
    </w:p>
    <w:p w14:paraId="13000000">
      <w:pPr>
        <w:tabs>
          <w:tab w:leader="none" w:pos="1373" w:val="left"/>
        </w:tabs>
        <w:spacing w:line="317" w:lineRule="exact"/>
        <w:ind w:right="124"/>
        <w:jc w:val="both"/>
        <w:rPr>
          <w:rFonts w:ascii="Times New Roman" w:hAnsi="Times New Roman"/>
          <w:sz w:val="28"/>
        </w:rPr>
      </w:pPr>
    </w:p>
    <w:p w14:paraId="14000000">
      <w:pPr>
        <w:tabs>
          <w:tab w:leader="none" w:pos="1373" w:val="left"/>
        </w:tabs>
        <w:spacing w:line="317" w:lineRule="exact"/>
        <w:ind w:right="124"/>
        <w:jc w:val="both"/>
        <w:rPr>
          <w:rFonts w:ascii="Times New Roman" w:hAnsi="Times New Roman"/>
          <w:spacing w:val="-15"/>
          <w:sz w:val="28"/>
        </w:rPr>
      </w:pPr>
      <w:r>
        <w:rPr>
          <w:rFonts w:ascii="Times New Roman" w:hAnsi="Times New Roman"/>
          <w:sz w:val="28"/>
        </w:rPr>
        <w:t xml:space="preserve">          Глава </w:t>
      </w:r>
      <w:r>
        <w:rPr>
          <w:rFonts w:ascii="Times New Roman" w:hAnsi="Times New Roman"/>
          <w:sz w:val="28"/>
        </w:rPr>
        <w:t>Молотычевского</w:t>
      </w:r>
      <w:r>
        <w:rPr>
          <w:rFonts w:ascii="Times New Roman" w:hAnsi="Times New Roman"/>
          <w:sz w:val="28"/>
        </w:rPr>
        <w:t xml:space="preserve"> сельсовета                                     </w:t>
      </w:r>
      <w:r>
        <w:rPr>
          <w:rFonts w:ascii="Times New Roman" w:hAnsi="Times New Roman"/>
          <w:sz w:val="28"/>
        </w:rPr>
        <w:t>О.М.Кретова</w:t>
      </w:r>
    </w:p>
    <w:p w14:paraId="15000000">
      <w:pPr>
        <w:tabs>
          <w:tab w:leader="none" w:pos="1373" w:val="left"/>
        </w:tabs>
        <w:spacing w:line="317" w:lineRule="exact"/>
        <w:ind w:right="124"/>
        <w:jc w:val="both"/>
        <w:rPr>
          <w:rFonts w:ascii="Times New Roman" w:hAnsi="Times New Roman"/>
          <w:sz w:val="28"/>
        </w:rPr>
      </w:pPr>
    </w:p>
    <w:p w14:paraId="16000000">
      <w:pPr>
        <w:spacing w:after="0" w:line="240" w:lineRule="auto"/>
        <w:ind w:firstLine="708" w:left="0"/>
        <w:jc w:val="right"/>
        <w:rPr>
          <w:rFonts w:ascii="Times New Roman" w:hAnsi="Times New Roman"/>
        </w:rPr>
      </w:pPr>
      <w:r>
        <w:rPr>
          <w:rFonts w:ascii="Times New Roman" w:hAnsi="Times New Roman"/>
        </w:rPr>
        <w:t xml:space="preserve">                                                                                                              </w:t>
      </w:r>
    </w:p>
    <w:p w14:paraId="17000000">
      <w:pPr>
        <w:spacing w:after="0" w:line="240" w:lineRule="auto"/>
        <w:ind w:firstLine="708" w:left="0"/>
        <w:jc w:val="right"/>
        <w:rPr>
          <w:rFonts w:ascii="Times New Roman" w:hAnsi="Times New Roman"/>
        </w:rPr>
      </w:pPr>
    </w:p>
    <w:p w14:paraId="18000000">
      <w:pPr>
        <w:spacing w:after="0" w:line="240" w:lineRule="auto"/>
        <w:ind w:firstLine="708" w:left="0"/>
        <w:jc w:val="right"/>
        <w:rPr>
          <w:rFonts w:ascii="Times New Roman" w:hAnsi="Times New Roman"/>
        </w:rPr>
      </w:pPr>
      <w:r>
        <w:rPr>
          <w:rFonts w:ascii="Times New Roman" w:hAnsi="Times New Roman"/>
        </w:rPr>
        <w:t xml:space="preserve">    УТВЕРЖДЕНА</w:t>
      </w:r>
    </w:p>
    <w:p w14:paraId="19000000">
      <w:pPr>
        <w:spacing w:after="0" w:line="240" w:lineRule="auto"/>
        <w:ind w:firstLine="708" w:left="0"/>
        <w:jc w:val="right"/>
        <w:rPr>
          <w:rFonts w:ascii="Times New Roman" w:hAnsi="Times New Roman"/>
        </w:rPr>
      </w:pPr>
      <w:r>
        <w:rPr>
          <w:rFonts w:ascii="Times New Roman" w:hAnsi="Times New Roman"/>
        </w:rPr>
        <w:t xml:space="preserve">                                                             Постановлением     </w:t>
      </w:r>
    </w:p>
    <w:p w14:paraId="1A000000">
      <w:pPr>
        <w:spacing w:after="0" w:line="240" w:lineRule="auto"/>
        <w:ind w:firstLine="708" w:left="0"/>
        <w:jc w:val="right"/>
        <w:rPr>
          <w:rFonts w:ascii="Times New Roman" w:hAnsi="Times New Roman"/>
        </w:rPr>
      </w:pPr>
      <w:r>
        <w:rPr>
          <w:rFonts w:ascii="Times New Roman" w:hAnsi="Times New Roman"/>
        </w:rPr>
        <w:t xml:space="preserve">         Главы </w:t>
      </w:r>
      <w:r>
        <w:rPr>
          <w:rFonts w:ascii="Times New Roman" w:hAnsi="Times New Roman"/>
        </w:rPr>
        <w:t>Молотычевского</w:t>
      </w:r>
      <w:r>
        <w:rPr>
          <w:rFonts w:ascii="Times New Roman" w:hAnsi="Times New Roman"/>
        </w:rPr>
        <w:t xml:space="preserve"> сельсовета    </w:t>
      </w:r>
    </w:p>
    <w:p w14:paraId="1B000000">
      <w:pPr>
        <w:spacing w:after="0" w:line="240" w:lineRule="auto"/>
        <w:ind w:firstLine="708" w:left="0"/>
        <w:jc w:val="right"/>
        <w:rPr>
          <w:rFonts w:ascii="Times New Roman" w:hAnsi="Times New Roman"/>
        </w:rPr>
      </w:pPr>
      <w:r>
        <w:rPr>
          <w:rFonts w:ascii="Times New Roman" w:hAnsi="Times New Roman"/>
        </w:rPr>
        <w:t xml:space="preserve">     Фатежского района </w:t>
      </w:r>
    </w:p>
    <w:p w14:paraId="1C000000">
      <w:pPr>
        <w:spacing w:after="0" w:line="240" w:lineRule="auto"/>
        <w:ind w:firstLine="708" w:left="0"/>
        <w:jc w:val="right"/>
        <w:rPr>
          <w:rFonts w:ascii="Times New Roman" w:hAnsi="Times New Roman"/>
        </w:rPr>
      </w:pPr>
      <w:r>
        <w:rPr>
          <w:rFonts w:ascii="Times New Roman" w:hAnsi="Times New Roman"/>
        </w:rPr>
        <w:t xml:space="preserve">                                                                                              от «01» ноября </w:t>
      </w:r>
      <w:r>
        <w:rPr>
          <w:rFonts w:ascii="Times New Roman" w:hAnsi="Times New Roman"/>
        </w:rPr>
        <w:t>2025</w:t>
      </w:r>
      <w:r>
        <w:rPr>
          <w:rFonts w:ascii="Times New Roman" w:hAnsi="Times New Roman"/>
        </w:rPr>
        <w:t>г.  № 57</w:t>
      </w:r>
    </w:p>
    <w:p w14:paraId="1D000000">
      <w:pPr>
        <w:spacing w:after="0" w:line="240" w:lineRule="auto"/>
        <w:ind/>
        <w:jc w:val="both"/>
        <w:rPr>
          <w:rFonts w:ascii="Times New Roman" w:hAnsi="Times New Roman"/>
          <w:sz w:val="24"/>
        </w:rPr>
      </w:pPr>
    </w:p>
    <w:p w14:paraId="1E000000">
      <w:pPr>
        <w:pStyle w:val="Style_3"/>
        <w:widowControl w:val="1"/>
        <w:ind/>
        <w:jc w:val="center"/>
        <w:rPr>
          <w:rFonts w:ascii="Times New Roman" w:hAnsi="Times New Roman"/>
          <w:sz w:val="32"/>
        </w:rPr>
      </w:pPr>
      <w:r>
        <w:rPr>
          <w:rFonts w:ascii="Times New Roman" w:hAnsi="Times New Roman"/>
          <w:sz w:val="32"/>
        </w:rPr>
        <w:t>МУНИЦИПАЛЬНАЯ  ПРОГРАММА</w:t>
      </w:r>
      <w:r>
        <w:rPr>
          <w:rFonts w:ascii="Times New Roman" w:hAnsi="Times New Roman"/>
          <w:sz w:val="32"/>
        </w:rPr>
        <w:t xml:space="preserve"> </w:t>
      </w:r>
    </w:p>
    <w:p w14:paraId="1F000000">
      <w:pPr>
        <w:pStyle w:val="Style_3"/>
        <w:widowControl w:val="1"/>
        <w:ind/>
        <w:jc w:val="center"/>
        <w:rPr>
          <w:rFonts w:ascii="Times New Roman" w:hAnsi="Times New Roman"/>
          <w:sz w:val="32"/>
        </w:rPr>
      </w:pPr>
      <w:r>
        <w:rPr>
          <w:rFonts w:ascii="Times New Roman" w:hAnsi="Times New Roman"/>
          <w:sz w:val="32"/>
        </w:rPr>
        <w:t>МОЛОТЫЧЕВСКОГО СЕЛЬСОВЕТА</w:t>
      </w:r>
    </w:p>
    <w:p w14:paraId="20000000">
      <w:pPr>
        <w:pStyle w:val="Style_3"/>
        <w:widowControl w:val="1"/>
        <w:ind/>
        <w:jc w:val="center"/>
        <w:rPr>
          <w:rFonts w:ascii="Times New Roman" w:hAnsi="Times New Roman"/>
          <w:sz w:val="32"/>
        </w:rPr>
      </w:pPr>
      <w:r>
        <w:rPr>
          <w:rFonts w:ascii="Times New Roman" w:hAnsi="Times New Roman"/>
          <w:sz w:val="32"/>
        </w:rPr>
        <w:t>ФАТЕЖСКОГО РАЙОНА КУРСКОЙ ОБЛАСТИ</w:t>
      </w:r>
    </w:p>
    <w:p w14:paraId="21000000">
      <w:pPr>
        <w:pStyle w:val="Style_3"/>
        <w:widowControl w:val="1"/>
        <w:ind/>
        <w:jc w:val="center"/>
        <w:rPr>
          <w:rFonts w:ascii="Times New Roman" w:hAnsi="Times New Roman"/>
          <w:sz w:val="28"/>
        </w:rPr>
      </w:pPr>
      <w:r>
        <w:rPr>
          <w:rFonts w:ascii="Times New Roman" w:hAnsi="Times New Roman"/>
          <w:sz w:val="28"/>
        </w:rPr>
        <w:t xml:space="preserve">«Защита населения и территории от чрезвычайных ситуаций, обеспечение пожарной безопасности и безопасности людей на водных объектах в </w:t>
      </w:r>
      <w:r>
        <w:rPr>
          <w:rFonts w:ascii="Times New Roman" w:hAnsi="Times New Roman"/>
          <w:sz w:val="28"/>
        </w:rPr>
        <w:t>Молотычевском</w:t>
      </w:r>
      <w:r>
        <w:rPr>
          <w:rFonts w:ascii="Times New Roman" w:hAnsi="Times New Roman"/>
          <w:sz w:val="28"/>
        </w:rPr>
        <w:t xml:space="preserve"> сельсовете Фатежского района Курской </w:t>
      </w:r>
      <w:r>
        <w:rPr>
          <w:rFonts w:ascii="Times New Roman" w:hAnsi="Times New Roman"/>
          <w:sz w:val="28"/>
        </w:rPr>
        <w:t xml:space="preserve">области»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на 2014-</w:t>
      </w:r>
      <w:r>
        <w:rPr>
          <w:rFonts w:ascii="Times New Roman" w:hAnsi="Times New Roman"/>
          <w:sz w:val="28"/>
        </w:rPr>
        <w:t>2028</w:t>
      </w:r>
      <w:r>
        <w:rPr>
          <w:rFonts w:ascii="Times New Roman" w:hAnsi="Times New Roman"/>
          <w:sz w:val="28"/>
        </w:rPr>
        <w:t xml:space="preserve"> годы)</w:t>
      </w:r>
    </w:p>
    <w:p w14:paraId="22000000">
      <w:pPr>
        <w:pStyle w:val="Style_4"/>
        <w:widowControl w:val="1"/>
        <w:ind w:firstLine="0" w:left="0"/>
        <w:jc w:val="center"/>
        <w:rPr>
          <w:rFonts w:ascii="Times New Roman" w:hAnsi="Times New Roman"/>
          <w:b w:val="1"/>
          <w:sz w:val="24"/>
        </w:rPr>
      </w:pPr>
    </w:p>
    <w:p w14:paraId="23000000">
      <w:pPr>
        <w:pStyle w:val="Style_4"/>
        <w:widowControl w:val="1"/>
        <w:ind w:firstLine="0" w:left="0"/>
        <w:jc w:val="center"/>
        <w:outlineLvl w:val="1"/>
        <w:rPr>
          <w:rFonts w:ascii="Times New Roman" w:hAnsi="Times New Roman"/>
          <w:b w:val="1"/>
          <w:sz w:val="48"/>
        </w:rPr>
      </w:pPr>
      <w:r>
        <w:rPr>
          <w:rFonts w:ascii="Times New Roman" w:hAnsi="Times New Roman"/>
          <w:b w:val="1"/>
          <w:sz w:val="48"/>
        </w:rPr>
        <w:t>ПАСПОРТ</w:t>
      </w:r>
    </w:p>
    <w:p w14:paraId="24000000">
      <w:pPr>
        <w:pStyle w:val="Style_3"/>
        <w:widowControl w:val="1"/>
        <w:ind/>
        <w:jc w:val="center"/>
        <w:rPr>
          <w:rFonts w:ascii="Times New Roman" w:hAnsi="Times New Roman"/>
          <w:sz w:val="24"/>
        </w:rPr>
      </w:pPr>
      <w:r>
        <w:rPr>
          <w:rFonts w:ascii="Times New Roman" w:hAnsi="Times New Roman"/>
          <w:sz w:val="24"/>
        </w:rPr>
        <w:t xml:space="preserve">муниципальной Программы </w:t>
      </w:r>
      <w:r>
        <w:rPr>
          <w:rFonts w:ascii="Times New Roman" w:hAnsi="Times New Roman"/>
          <w:sz w:val="24"/>
        </w:rPr>
        <w:t>Молотычевского</w:t>
      </w:r>
      <w:r>
        <w:rPr>
          <w:rFonts w:ascii="Times New Roman" w:hAnsi="Times New Roman"/>
          <w:sz w:val="24"/>
        </w:rPr>
        <w:t xml:space="preserve"> сельсовета </w:t>
      </w:r>
      <w:r>
        <w:rPr>
          <w:rFonts w:ascii="Times New Roman" w:hAnsi="Times New Roman"/>
          <w:sz w:val="24"/>
        </w:rPr>
        <w:t xml:space="preserve">Фатежского района Курской области «Защита населения и территории от </w:t>
      </w:r>
      <w:r>
        <w:rPr>
          <w:rFonts w:ascii="Times New Roman" w:hAnsi="Times New Roman"/>
          <w:sz w:val="24"/>
        </w:rPr>
        <w:t>черезвычайных</w:t>
      </w:r>
      <w:r>
        <w:rPr>
          <w:rFonts w:ascii="Times New Roman" w:hAnsi="Times New Roman"/>
          <w:sz w:val="24"/>
        </w:rPr>
        <w:t xml:space="preserve"> ситуаций, обеспечение пожарной безопасности и безопасности людей на водных объектах в </w:t>
      </w:r>
      <w:r>
        <w:rPr>
          <w:rFonts w:ascii="Times New Roman" w:hAnsi="Times New Roman"/>
          <w:sz w:val="24"/>
        </w:rPr>
        <w:t>Молотычевском</w:t>
      </w:r>
      <w:r>
        <w:rPr>
          <w:rFonts w:ascii="Times New Roman" w:hAnsi="Times New Roman"/>
          <w:sz w:val="24"/>
        </w:rPr>
        <w:t xml:space="preserve"> сельсовете Фатежского района Курской области» (на (2014-</w:t>
      </w:r>
      <w:r>
        <w:rPr>
          <w:rFonts w:ascii="Times New Roman" w:hAnsi="Times New Roman"/>
          <w:sz w:val="24"/>
        </w:rPr>
        <w:t>2028</w:t>
      </w:r>
      <w:r>
        <w:rPr>
          <w:rFonts w:ascii="Times New Roman" w:hAnsi="Times New Roman"/>
          <w:sz w:val="24"/>
        </w:rPr>
        <w:t>годы)</w:t>
      </w:r>
    </w:p>
    <w:p w14:paraId="25000000">
      <w:pPr>
        <w:pStyle w:val="Style_5"/>
        <w:widowControl w:val="1"/>
        <w:ind/>
        <w:jc w:val="center"/>
        <w:rPr>
          <w:rFonts w:ascii="Times New Roman" w:hAnsi="Times New Roman"/>
          <w:sz w:val="24"/>
        </w:rPr>
      </w:pPr>
    </w:p>
    <w:tbl>
      <w:tblPr>
        <w:tblStyle w:val="Style_2"/>
        <w:tblInd w:type="dxa" w:w="-10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63"/>
        <w:gridCol w:w="7464"/>
      </w:tblGrid>
      <w:tr>
        <w:tc>
          <w:tcPr>
            <w:tcW w:type="dxa" w:w="2563"/>
            <w:tcBorders>
              <w:top w:color="000000" w:sz="4" w:val="single"/>
              <w:left w:color="000000" w:sz="4" w:val="single"/>
              <w:bottom w:color="000000" w:sz="4" w:val="single"/>
              <w:right w:color="000000" w:sz="4" w:val="single"/>
            </w:tcBorders>
          </w:tcPr>
          <w:p w14:paraId="26000000">
            <w:pPr>
              <w:widowControl w:val="0"/>
              <w:ind/>
              <w:rPr>
                <w:rFonts w:ascii="Times New Roman" w:hAnsi="Times New Roman"/>
                <w:sz w:val="24"/>
              </w:rPr>
            </w:pPr>
            <w:r>
              <w:rPr>
                <w:rFonts w:ascii="Times New Roman" w:hAnsi="Times New Roman"/>
                <w:sz w:val="24"/>
              </w:rPr>
              <w:t>Ответственный исполнитель Программы</w:t>
            </w:r>
          </w:p>
        </w:tc>
        <w:tc>
          <w:tcPr>
            <w:tcW w:type="dxa" w:w="7464"/>
            <w:tcBorders>
              <w:top w:color="000000" w:sz="4" w:val="single"/>
              <w:left w:color="000000" w:sz="4" w:val="single"/>
              <w:bottom w:color="000000" w:sz="4" w:val="single"/>
              <w:right w:color="000000" w:sz="4" w:val="single"/>
            </w:tcBorders>
          </w:tcPr>
          <w:p w14:paraId="27000000">
            <w:pPr>
              <w:widowControl w:val="0"/>
              <w:ind/>
              <w:jc w:val="both"/>
              <w:rPr>
                <w:rFonts w:ascii="Times New Roman" w:hAnsi="Times New Roman"/>
                <w:sz w:val="24"/>
              </w:rPr>
            </w:pPr>
            <w:r>
              <w:rPr>
                <w:rFonts w:ascii="Times New Roman" w:hAnsi="Times New Roman"/>
                <w:sz w:val="24"/>
              </w:rPr>
              <w:t xml:space="preserve">Администрация </w:t>
            </w:r>
            <w:r>
              <w:rPr>
                <w:rFonts w:ascii="Times New Roman" w:hAnsi="Times New Roman"/>
                <w:sz w:val="24"/>
              </w:rPr>
              <w:t>Молотычевского</w:t>
            </w:r>
            <w:r>
              <w:rPr>
                <w:rFonts w:ascii="Times New Roman" w:hAnsi="Times New Roman"/>
                <w:sz w:val="24"/>
              </w:rPr>
              <w:t xml:space="preserve"> сельсовета Фатежского района </w:t>
            </w:r>
          </w:p>
        </w:tc>
      </w:tr>
      <w:tr>
        <w:trPr>
          <w:trHeight w:hRule="atLeast" w:val="596"/>
        </w:trPr>
        <w:tc>
          <w:tcPr>
            <w:tcW w:type="dxa" w:w="2563"/>
            <w:tcBorders>
              <w:top w:color="000000" w:sz="4" w:val="single"/>
              <w:left w:color="000000" w:sz="4" w:val="single"/>
              <w:bottom w:color="000000" w:sz="4" w:val="single"/>
              <w:right w:color="000000" w:sz="4" w:val="single"/>
            </w:tcBorders>
          </w:tcPr>
          <w:p w14:paraId="28000000">
            <w:pPr>
              <w:widowControl w:val="0"/>
              <w:ind/>
              <w:rPr>
                <w:rFonts w:ascii="Times New Roman" w:hAnsi="Times New Roman"/>
                <w:sz w:val="24"/>
              </w:rPr>
            </w:pPr>
            <w:r>
              <w:rPr>
                <w:rFonts w:ascii="Times New Roman" w:hAnsi="Times New Roman"/>
                <w:sz w:val="24"/>
              </w:rPr>
              <w:t>Соисполнители Программы</w:t>
            </w:r>
          </w:p>
        </w:tc>
        <w:tc>
          <w:tcPr>
            <w:tcW w:type="dxa" w:w="7464"/>
            <w:tcBorders>
              <w:top w:color="000000" w:sz="4" w:val="single"/>
              <w:left w:color="000000" w:sz="4" w:val="single"/>
              <w:bottom w:color="000000" w:sz="4" w:val="single"/>
              <w:right w:color="000000" w:sz="4" w:val="single"/>
            </w:tcBorders>
          </w:tcPr>
          <w:p w14:paraId="29000000">
            <w:pPr>
              <w:widowControl w:val="0"/>
              <w:ind/>
              <w:rPr>
                <w:rFonts w:ascii="Times New Roman" w:hAnsi="Times New Roman"/>
                <w:sz w:val="24"/>
              </w:rPr>
            </w:pPr>
            <w:r>
              <w:rPr>
                <w:rFonts w:ascii="Times New Roman" w:hAnsi="Times New Roman"/>
                <w:sz w:val="24"/>
              </w:rPr>
              <w:t>отсутствуют</w:t>
            </w:r>
          </w:p>
        </w:tc>
      </w:tr>
      <w:tr>
        <w:trPr>
          <w:trHeight w:hRule="atLeast" w:val="556"/>
        </w:trPr>
        <w:tc>
          <w:tcPr>
            <w:tcW w:type="dxa" w:w="2563"/>
            <w:tcBorders>
              <w:top w:color="000000" w:sz="4" w:val="single"/>
              <w:left w:color="000000" w:sz="4" w:val="single"/>
              <w:bottom w:color="000000" w:sz="4" w:val="single"/>
              <w:right w:color="000000" w:sz="4" w:val="single"/>
            </w:tcBorders>
          </w:tcPr>
          <w:p w14:paraId="2A000000">
            <w:pPr>
              <w:widowControl w:val="0"/>
              <w:ind/>
              <w:rPr>
                <w:rFonts w:ascii="Times New Roman" w:hAnsi="Times New Roman"/>
                <w:sz w:val="24"/>
              </w:rPr>
            </w:pPr>
            <w:r>
              <w:rPr>
                <w:rFonts w:ascii="Times New Roman" w:hAnsi="Times New Roman"/>
                <w:sz w:val="24"/>
              </w:rPr>
              <w:t>Участники Программы</w:t>
            </w:r>
          </w:p>
        </w:tc>
        <w:tc>
          <w:tcPr>
            <w:tcW w:type="dxa" w:w="7464"/>
            <w:tcBorders>
              <w:top w:color="000000" w:sz="4" w:val="single"/>
              <w:left w:color="000000" w:sz="4" w:val="single"/>
              <w:bottom w:color="000000" w:sz="4" w:val="single"/>
              <w:right w:color="000000" w:sz="4" w:val="single"/>
            </w:tcBorders>
          </w:tcPr>
          <w:p w14:paraId="2B000000">
            <w:pPr>
              <w:widowControl w:val="0"/>
              <w:ind/>
              <w:jc w:val="both"/>
              <w:rPr>
                <w:rFonts w:ascii="Times New Roman" w:hAnsi="Times New Roman"/>
                <w:sz w:val="24"/>
              </w:rPr>
            </w:pPr>
            <w:r>
              <w:rPr>
                <w:rFonts w:ascii="Times New Roman" w:hAnsi="Times New Roman"/>
                <w:sz w:val="24"/>
              </w:rPr>
              <w:t xml:space="preserve">жители </w:t>
            </w:r>
            <w:r>
              <w:rPr>
                <w:rFonts w:ascii="Times New Roman" w:hAnsi="Times New Roman"/>
                <w:sz w:val="24"/>
              </w:rPr>
              <w:t>Молотычевского</w:t>
            </w:r>
            <w:r>
              <w:rPr>
                <w:rFonts w:ascii="Times New Roman" w:hAnsi="Times New Roman"/>
                <w:sz w:val="24"/>
              </w:rPr>
              <w:t xml:space="preserve"> сельсовета Фатежского района</w:t>
            </w:r>
          </w:p>
        </w:tc>
      </w:tr>
      <w:tr>
        <w:trPr>
          <w:trHeight w:hRule="atLeast" w:val="2166"/>
        </w:trPr>
        <w:tc>
          <w:tcPr>
            <w:tcW w:type="dxa" w:w="2563"/>
            <w:tcBorders>
              <w:top w:color="000000" w:sz="4" w:val="single"/>
              <w:left w:color="000000" w:sz="4" w:val="single"/>
              <w:bottom w:color="000000" w:sz="4" w:val="single"/>
              <w:right w:color="000000" w:sz="4" w:val="single"/>
            </w:tcBorders>
          </w:tcPr>
          <w:p w14:paraId="2C000000">
            <w:pPr>
              <w:widowControl w:val="0"/>
              <w:ind/>
              <w:rPr>
                <w:rFonts w:ascii="Times New Roman" w:hAnsi="Times New Roman"/>
                <w:sz w:val="24"/>
                <w:highlight w:val="yellow"/>
              </w:rPr>
            </w:pPr>
            <w:r>
              <w:rPr>
                <w:rFonts w:ascii="Times New Roman" w:hAnsi="Times New Roman"/>
                <w:sz w:val="24"/>
              </w:rPr>
              <w:t>Подпрограмма Программы</w:t>
            </w:r>
          </w:p>
        </w:tc>
        <w:tc>
          <w:tcPr>
            <w:tcW w:type="dxa" w:w="7464"/>
            <w:tcBorders>
              <w:top w:color="000000" w:sz="6" w:val="single"/>
              <w:left w:color="000000" w:sz="6" w:val="single"/>
              <w:bottom w:color="000000" w:sz="6" w:val="single"/>
              <w:right w:color="000000" w:sz="14" w:val="single"/>
            </w:tcBorders>
            <w:shd w:fill="FFFFFF" w:val="clear"/>
          </w:tcPr>
          <w:p w14:paraId="2D000000">
            <w:pPr>
              <w:ind w:firstLine="0" w:left="298"/>
              <w:rPr>
                <w:rFonts w:ascii="Times New Roman" w:hAnsi="Times New Roman"/>
                <w:sz w:val="24"/>
              </w:rPr>
            </w:pPr>
            <w:r>
              <w:rPr>
                <w:rFonts w:ascii="Times New Roman" w:hAnsi="Times New Roman"/>
                <w:sz w:val="24"/>
              </w:rPr>
              <w:t xml:space="preserve">«Обеспечение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w:t>
            </w:r>
            <w:r>
              <w:rPr>
                <w:rFonts w:ascii="Times New Roman" w:hAnsi="Times New Roman"/>
                <w:sz w:val="24"/>
              </w:rPr>
              <w:t>Молотычевском</w:t>
            </w:r>
            <w:r>
              <w:rPr>
                <w:rFonts w:ascii="Times New Roman" w:hAnsi="Times New Roman"/>
                <w:sz w:val="24"/>
              </w:rPr>
              <w:t xml:space="preserve"> сельсовете Фатежского района Курской области»</w:t>
            </w:r>
          </w:p>
        </w:tc>
      </w:tr>
      <w:tr>
        <w:trPr>
          <w:trHeight w:hRule="atLeast" w:val="821"/>
        </w:trPr>
        <w:tc>
          <w:tcPr>
            <w:tcW w:type="dxa" w:w="2563"/>
            <w:tcBorders>
              <w:top w:color="000000" w:sz="4" w:val="single"/>
              <w:left w:color="000000" w:sz="4" w:val="single"/>
              <w:bottom w:color="000000" w:sz="4" w:val="single"/>
              <w:right w:color="000000" w:sz="4" w:val="single"/>
            </w:tcBorders>
          </w:tcPr>
          <w:p w14:paraId="2E000000">
            <w:pPr>
              <w:widowControl w:val="0"/>
              <w:ind/>
              <w:jc w:val="both"/>
              <w:rPr>
                <w:rFonts w:ascii="Times New Roman" w:hAnsi="Times New Roman"/>
                <w:sz w:val="24"/>
              </w:rPr>
            </w:pPr>
            <w:r>
              <w:rPr>
                <w:rFonts w:ascii="Times New Roman" w:hAnsi="Times New Roman"/>
                <w:sz w:val="24"/>
              </w:rPr>
              <w:t xml:space="preserve">Программно-целевые инструменты </w:t>
            </w:r>
          </w:p>
        </w:tc>
        <w:tc>
          <w:tcPr>
            <w:tcW w:type="dxa" w:w="7464"/>
            <w:tcBorders>
              <w:top w:color="000000" w:sz="4" w:val="single"/>
              <w:left w:color="000000" w:sz="4" w:val="single"/>
              <w:bottom w:color="000000" w:sz="4" w:val="single"/>
              <w:right w:color="000000" w:sz="4" w:val="single"/>
            </w:tcBorders>
          </w:tcPr>
          <w:p w14:paraId="2F000000">
            <w:pPr>
              <w:widowControl w:val="0"/>
              <w:ind w:firstLine="10" w:left="0"/>
              <w:rPr>
                <w:rFonts w:ascii="Times New Roman" w:hAnsi="Times New Roman"/>
                <w:sz w:val="24"/>
              </w:rPr>
            </w:pPr>
            <w:r>
              <w:rPr>
                <w:rFonts w:ascii="Times New Roman" w:hAnsi="Times New Roman"/>
                <w:sz w:val="24"/>
              </w:rPr>
              <w:t>Отсутствуют</w:t>
            </w:r>
          </w:p>
        </w:tc>
      </w:tr>
      <w:tr>
        <w:trPr>
          <w:trHeight w:hRule="atLeast" w:val="1833"/>
        </w:trPr>
        <w:tc>
          <w:tcPr>
            <w:tcW w:type="dxa" w:w="2563"/>
            <w:tcBorders>
              <w:top w:color="000000" w:sz="4" w:val="single"/>
              <w:left w:color="000000" w:sz="4" w:val="single"/>
              <w:bottom w:color="000000" w:sz="4" w:val="single"/>
              <w:right w:color="000000" w:sz="4" w:val="single"/>
            </w:tcBorders>
          </w:tcPr>
          <w:p w14:paraId="30000000">
            <w:pPr>
              <w:widowControl w:val="0"/>
              <w:ind/>
              <w:rPr>
                <w:rFonts w:ascii="Times New Roman" w:hAnsi="Times New Roman"/>
                <w:sz w:val="24"/>
              </w:rPr>
            </w:pPr>
            <w:r>
              <w:rPr>
                <w:rFonts w:ascii="Times New Roman" w:hAnsi="Times New Roman"/>
                <w:sz w:val="24"/>
              </w:rPr>
              <w:t>Цели Программы</w:t>
            </w:r>
          </w:p>
        </w:tc>
        <w:tc>
          <w:tcPr>
            <w:tcW w:type="dxa" w:w="7464"/>
            <w:tcBorders>
              <w:top w:color="000000" w:sz="4" w:val="single"/>
              <w:left w:color="000000" w:sz="4" w:val="single"/>
              <w:bottom w:color="000000" w:sz="4" w:val="single"/>
              <w:right w:color="000000" w:sz="4" w:val="single"/>
            </w:tcBorders>
          </w:tcPr>
          <w:p w14:paraId="31000000">
            <w:pPr>
              <w:pStyle w:val="Style_5"/>
              <w:widowControl w:val="1"/>
              <w:ind w:firstLine="0" w:left="-108"/>
              <w:jc w:val="both"/>
              <w:rPr>
                <w:rFonts w:ascii="Times New Roman" w:hAnsi="Times New Roman"/>
                <w:sz w:val="24"/>
              </w:rPr>
            </w:pPr>
            <w:r>
              <w:rPr>
                <w:rFonts w:ascii="Times New Roman" w:hAnsi="Times New Roman"/>
                <w:sz w:val="24"/>
              </w:rPr>
              <w:t xml:space="preserve">- Обеспечение комплексной безопасности, минимизации социального, </w:t>
            </w:r>
            <w:r>
              <w:rPr>
                <w:rFonts w:ascii="Times New Roman" w:hAnsi="Times New Roman"/>
                <w:sz w:val="24"/>
              </w:rPr>
              <w:t>экономического и экологического ущерба</w:t>
            </w:r>
            <w:r>
              <w:rPr>
                <w:rFonts w:ascii="Times New Roman" w:hAnsi="Times New Roman"/>
                <w:sz w:val="24"/>
              </w:rPr>
              <w:t xml:space="preserve"> наносимого населению, от ЧС природного и техногенного характера, пожаров, происшествий на водных объектах;</w:t>
            </w:r>
          </w:p>
          <w:p w14:paraId="32000000">
            <w:pPr>
              <w:ind w:firstLine="0" w:left="-108"/>
              <w:jc w:val="both"/>
              <w:rPr>
                <w:rFonts w:ascii="Times New Roman" w:hAnsi="Times New Roman"/>
                <w:sz w:val="24"/>
              </w:rPr>
            </w:pPr>
            <w:r>
              <w:rPr>
                <w:rFonts w:ascii="Times New Roman" w:hAnsi="Times New Roman"/>
                <w:sz w:val="24"/>
              </w:rPr>
              <w:t>- создание необходимых условий для обеспечения пожарной безопасности защиты жизни и здоровья граждан;</w:t>
            </w:r>
          </w:p>
          <w:p w14:paraId="33000000">
            <w:pPr>
              <w:ind w:firstLine="0" w:left="-108"/>
              <w:jc w:val="both"/>
              <w:rPr>
                <w:rFonts w:ascii="Times New Roman" w:hAnsi="Times New Roman"/>
                <w:sz w:val="24"/>
              </w:rPr>
            </w:pPr>
            <w:r>
              <w:rPr>
                <w:rFonts w:ascii="Times New Roman" w:hAnsi="Times New Roman"/>
                <w:sz w:val="24"/>
              </w:rPr>
              <w:t>-сокращение времени реагирования подразделений ДПК и ДПД на пожары;</w:t>
            </w:r>
          </w:p>
          <w:p w14:paraId="34000000">
            <w:pPr>
              <w:ind w:firstLine="0" w:left="-108"/>
              <w:jc w:val="both"/>
              <w:rPr>
                <w:rFonts w:ascii="Times New Roman" w:hAnsi="Times New Roman"/>
                <w:sz w:val="24"/>
              </w:rPr>
            </w:pPr>
            <w:r>
              <w:rPr>
                <w:rFonts w:ascii="Times New Roman" w:hAnsi="Times New Roman"/>
                <w:sz w:val="24"/>
              </w:rPr>
              <w:t xml:space="preserve"> -оснащение учреждений социальной сферы системами пожарной автоматики;</w:t>
            </w:r>
          </w:p>
          <w:p w14:paraId="35000000">
            <w:pPr>
              <w:ind w:firstLine="0" w:left="-108"/>
              <w:jc w:val="both"/>
              <w:rPr>
                <w:rFonts w:ascii="Times New Roman" w:hAnsi="Times New Roman"/>
                <w:sz w:val="24"/>
              </w:rPr>
            </w:pPr>
            <w:r>
              <w:rPr>
                <w:rFonts w:ascii="Times New Roman" w:hAnsi="Times New Roman"/>
                <w:sz w:val="24"/>
              </w:rPr>
              <w:t xml:space="preserve"> - улучшение материальной базы учебного процесса по вопросам гражданской обороны и чрезвычайным ситуациям;</w:t>
            </w:r>
          </w:p>
          <w:p w14:paraId="36000000">
            <w:pPr>
              <w:ind w:firstLine="0" w:left="-108"/>
              <w:jc w:val="both"/>
              <w:rPr>
                <w:rFonts w:ascii="Times New Roman" w:hAnsi="Times New Roman"/>
                <w:sz w:val="24"/>
              </w:rPr>
            </w:pPr>
            <w:r>
              <w:rPr>
                <w:rFonts w:ascii="Times New Roman" w:hAnsi="Times New Roman"/>
                <w:sz w:val="24"/>
              </w:rPr>
              <w:t xml:space="preserve">  - создание резервов (запасов) материальных ресурсов для ликвидации чрезвычайных ситуаций и в особый период;</w:t>
            </w:r>
          </w:p>
          <w:p w14:paraId="37000000">
            <w:pPr>
              <w:widowControl w:val="0"/>
              <w:ind w:firstLine="0" w:left="-108"/>
              <w:jc w:val="both"/>
              <w:rPr>
                <w:rFonts w:ascii="Times New Roman" w:hAnsi="Times New Roman"/>
                <w:sz w:val="24"/>
              </w:rPr>
            </w:pPr>
            <w:r>
              <w:rPr>
                <w:rFonts w:ascii="Times New Roman" w:hAnsi="Times New Roman"/>
                <w:sz w:val="24"/>
              </w:rPr>
              <w:t xml:space="preserve"> - повышение подготовленности к жизнеобеспечению населения от чрезвычайных ситуаций в </w:t>
            </w:r>
            <w:r>
              <w:rPr>
                <w:rFonts w:ascii="Times New Roman" w:hAnsi="Times New Roman"/>
                <w:sz w:val="24"/>
              </w:rPr>
              <w:t>Молотычевском</w:t>
            </w:r>
            <w:r>
              <w:rPr>
                <w:rFonts w:ascii="Times New Roman" w:hAnsi="Times New Roman"/>
                <w:sz w:val="24"/>
              </w:rPr>
              <w:t xml:space="preserve"> сельсовете Фатежского района Курской области.</w:t>
            </w:r>
          </w:p>
        </w:tc>
      </w:tr>
      <w:tr>
        <w:tc>
          <w:tcPr>
            <w:tcW w:type="dxa" w:w="2563"/>
            <w:tcBorders>
              <w:top w:color="000000" w:sz="4" w:val="single"/>
              <w:left w:color="000000" w:sz="4" w:val="single"/>
              <w:bottom w:color="000000" w:sz="4" w:val="single"/>
              <w:right w:color="000000" w:sz="4" w:val="single"/>
            </w:tcBorders>
          </w:tcPr>
          <w:p w14:paraId="38000000">
            <w:pPr>
              <w:widowControl w:val="0"/>
              <w:ind/>
              <w:rPr>
                <w:rFonts w:ascii="Times New Roman" w:hAnsi="Times New Roman"/>
                <w:sz w:val="24"/>
              </w:rPr>
            </w:pPr>
            <w:r>
              <w:rPr>
                <w:rFonts w:ascii="Times New Roman" w:hAnsi="Times New Roman"/>
                <w:sz w:val="24"/>
              </w:rPr>
              <w:t>Задачи Программы</w:t>
            </w:r>
          </w:p>
        </w:tc>
        <w:tc>
          <w:tcPr>
            <w:tcW w:type="dxa" w:w="7464"/>
            <w:tcBorders>
              <w:top w:color="000000" w:sz="4" w:val="single"/>
              <w:left w:color="000000" w:sz="4" w:val="single"/>
              <w:bottom w:color="000000" w:sz="4" w:val="single"/>
              <w:right w:color="000000" w:sz="4" w:val="single"/>
            </w:tcBorders>
          </w:tcPr>
          <w:p w14:paraId="39000000">
            <w:pPr>
              <w:ind/>
              <w:jc w:val="both"/>
              <w:rPr>
                <w:rFonts w:ascii="Times New Roman" w:hAnsi="Times New Roman"/>
                <w:sz w:val="24"/>
              </w:rPr>
            </w:pPr>
            <w:r>
              <w:rPr>
                <w:rFonts w:ascii="Times New Roman" w:hAnsi="Times New Roman"/>
                <w:sz w:val="24"/>
              </w:rPr>
              <w:t>- обеспечение противопожарным оборудованием и совершенствование противопожарной защиты объектов социальной сферы;</w:t>
            </w:r>
          </w:p>
          <w:p w14:paraId="3A000000">
            <w:pPr>
              <w:ind/>
              <w:jc w:val="both"/>
              <w:rPr>
                <w:rFonts w:ascii="Times New Roman" w:hAnsi="Times New Roman"/>
                <w:sz w:val="24"/>
              </w:rPr>
            </w:pPr>
            <w:r>
              <w:rPr>
                <w:rFonts w:ascii="Times New Roman" w:hAnsi="Times New Roman"/>
                <w:sz w:val="24"/>
              </w:rPr>
              <w:t>- разработка и реализация мероприятий, направленных на соблюдение правил пожарной безопасности населением и работниками учреждений социальной сферы;</w:t>
            </w:r>
          </w:p>
          <w:p w14:paraId="3B000000">
            <w:pPr>
              <w:ind/>
              <w:jc w:val="both"/>
              <w:rPr>
                <w:rFonts w:ascii="Times New Roman" w:hAnsi="Times New Roman"/>
                <w:sz w:val="24"/>
              </w:rPr>
            </w:pPr>
            <w:r>
              <w:rPr>
                <w:rFonts w:ascii="Times New Roman" w:hAnsi="Times New Roman"/>
                <w:sz w:val="24"/>
              </w:rPr>
              <w:t>- повышение объема знаний и навыков в области пожарной безопасности руководителей, должностных лиц и специалистов, педагогов, воспитателей, а также выпускников образовательных учреждений;</w:t>
            </w:r>
          </w:p>
          <w:p w14:paraId="3C000000">
            <w:pPr>
              <w:ind/>
              <w:jc w:val="both"/>
              <w:rPr>
                <w:rFonts w:ascii="Times New Roman" w:hAnsi="Times New Roman"/>
                <w:sz w:val="24"/>
              </w:rPr>
            </w:pPr>
            <w:r>
              <w:rPr>
                <w:rFonts w:ascii="Times New Roman" w:hAnsi="Times New Roman"/>
                <w:sz w:val="24"/>
              </w:rPr>
              <w:t>- приобретение современных средств спасения людей при ЧС и пожарах в учреждениях социальной сферы;</w:t>
            </w:r>
          </w:p>
          <w:p w14:paraId="3D000000">
            <w:pPr>
              <w:ind/>
              <w:jc w:val="both"/>
              <w:rPr>
                <w:rFonts w:ascii="Times New Roman" w:hAnsi="Times New Roman"/>
                <w:sz w:val="24"/>
              </w:rPr>
            </w:pPr>
            <w:r>
              <w:rPr>
                <w:rFonts w:ascii="Times New Roman" w:hAnsi="Times New Roman"/>
                <w:sz w:val="24"/>
              </w:rPr>
              <w:t>- организация работы по предупреждению и пресечению нарушений требований пожарной безопасности и правил поведения на воде;</w:t>
            </w:r>
          </w:p>
          <w:p w14:paraId="3E000000">
            <w:pPr>
              <w:ind/>
              <w:jc w:val="both"/>
              <w:rPr>
                <w:rFonts w:ascii="Times New Roman" w:hAnsi="Times New Roman"/>
                <w:sz w:val="24"/>
              </w:rPr>
            </w:pPr>
            <w:r>
              <w:rPr>
                <w:rFonts w:ascii="Times New Roman" w:hAnsi="Times New Roman"/>
                <w:sz w:val="24"/>
              </w:rPr>
              <w:t xml:space="preserve">- улучшение материально-технической базы оперативной группы КЧС и ОПБ Администрации </w:t>
            </w:r>
            <w:r>
              <w:rPr>
                <w:rFonts w:ascii="Times New Roman" w:hAnsi="Times New Roman"/>
                <w:sz w:val="24"/>
              </w:rPr>
              <w:t>Молотычевского</w:t>
            </w:r>
            <w:r>
              <w:rPr>
                <w:rFonts w:ascii="Times New Roman" w:hAnsi="Times New Roman"/>
                <w:sz w:val="24"/>
              </w:rPr>
              <w:t xml:space="preserve"> сельсовета Фатежского района </w:t>
            </w:r>
          </w:p>
          <w:p w14:paraId="3F000000">
            <w:pPr>
              <w:ind/>
              <w:jc w:val="both"/>
              <w:rPr>
                <w:rFonts w:ascii="Times New Roman" w:hAnsi="Times New Roman"/>
                <w:sz w:val="24"/>
              </w:rPr>
            </w:pPr>
            <w:r>
              <w:rPr>
                <w:rFonts w:ascii="Times New Roman" w:hAnsi="Times New Roman"/>
                <w:sz w:val="24"/>
              </w:rPr>
              <w:t>- информирование населения о правилах поведения и действиях в чрезвычайных ситуациях;</w:t>
            </w:r>
          </w:p>
          <w:p w14:paraId="40000000">
            <w:pPr>
              <w:ind/>
              <w:jc w:val="both"/>
              <w:rPr>
                <w:rFonts w:ascii="Times New Roman" w:hAnsi="Times New Roman"/>
                <w:sz w:val="24"/>
              </w:rPr>
            </w:pPr>
            <w:r>
              <w:rPr>
                <w:rFonts w:ascii="Times New Roman" w:hAnsi="Times New Roman"/>
                <w:sz w:val="24"/>
              </w:rPr>
              <w:t>-создание материальных резервов для ликвидации чрезвычайных ситуаций;</w:t>
            </w:r>
          </w:p>
          <w:p w14:paraId="41000000">
            <w:pPr>
              <w:ind/>
              <w:jc w:val="both"/>
              <w:rPr>
                <w:rFonts w:ascii="Times New Roman" w:hAnsi="Times New Roman"/>
                <w:sz w:val="24"/>
              </w:rPr>
            </w:pPr>
            <w:r>
              <w:rPr>
                <w:rFonts w:ascii="Times New Roman" w:hAnsi="Times New Roman"/>
                <w:sz w:val="24"/>
              </w:rPr>
              <w:t>- восполнение на муниципальном уровне по истечении срока хранения индивидуальных средств защиты для работников муниципальных учреждений и организаций;</w:t>
            </w:r>
          </w:p>
          <w:p w14:paraId="42000000">
            <w:pPr>
              <w:ind/>
              <w:jc w:val="both"/>
              <w:rPr>
                <w:rFonts w:ascii="Times New Roman" w:hAnsi="Times New Roman"/>
                <w:sz w:val="24"/>
              </w:rPr>
            </w:pPr>
            <w:r>
              <w:rPr>
                <w:rFonts w:ascii="Times New Roman" w:hAnsi="Times New Roman"/>
                <w:sz w:val="24"/>
              </w:rPr>
              <w:t xml:space="preserve">- организация системы мониторинга и прогнозирования ЧС, </w:t>
            </w:r>
            <w:r>
              <w:rPr>
                <w:rFonts w:ascii="Times New Roman" w:hAnsi="Times New Roman"/>
                <w:sz w:val="24"/>
              </w:rPr>
              <w:t>централизованного оповещения населения, связи, пожарной безопасности, безопасности на водных объектах и безопасности дорожного движения; повышение эффективности реагирования на чрезвычайные ситуации любого характера.</w:t>
            </w:r>
          </w:p>
          <w:p w14:paraId="43000000">
            <w:pPr>
              <w:widowControl w:val="0"/>
              <w:ind/>
              <w:jc w:val="both"/>
              <w:rPr>
                <w:rFonts w:ascii="Times New Roman" w:hAnsi="Times New Roman"/>
                <w:sz w:val="24"/>
              </w:rPr>
            </w:pPr>
            <w:r>
              <w:rPr>
                <w:rFonts w:ascii="Times New Roman" w:hAnsi="Times New Roman"/>
                <w:sz w:val="24"/>
              </w:rPr>
              <w:t xml:space="preserve">- организация на муниципальном уровне выполнения мероприятий по защите населения при опасностях, возникающих при ведении военных действий или вследствие этих действий, при угрозе возникновения или возникновении чрезвычайных ситуаций на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организация выдач СИЗ населению </w:t>
            </w:r>
            <w:r>
              <w:rPr>
                <w:rFonts w:ascii="Times New Roman" w:hAnsi="Times New Roman"/>
                <w:sz w:val="24"/>
              </w:rPr>
              <w:t>Молотычевского</w:t>
            </w:r>
            <w:r>
              <w:rPr>
                <w:rFonts w:ascii="Times New Roman" w:hAnsi="Times New Roman"/>
                <w:sz w:val="24"/>
              </w:rPr>
              <w:t xml:space="preserve"> сельсовета Фатежского района в установленном порядке.</w:t>
            </w:r>
          </w:p>
        </w:tc>
      </w:tr>
      <w:tr>
        <w:tc>
          <w:tcPr>
            <w:tcW w:type="dxa" w:w="2563"/>
            <w:tcBorders>
              <w:top w:color="000000" w:sz="4" w:val="single"/>
              <w:left w:color="000000" w:sz="4" w:val="single"/>
              <w:bottom w:color="000000" w:sz="4" w:val="single"/>
              <w:right w:color="000000" w:sz="4" w:val="single"/>
            </w:tcBorders>
          </w:tcPr>
          <w:p w14:paraId="44000000">
            <w:pPr>
              <w:widowControl w:val="0"/>
              <w:ind/>
              <w:rPr>
                <w:rFonts w:ascii="Times New Roman" w:hAnsi="Times New Roman"/>
                <w:sz w:val="24"/>
              </w:rPr>
            </w:pPr>
            <w:r>
              <w:rPr>
                <w:rFonts w:ascii="Times New Roman" w:hAnsi="Times New Roman"/>
                <w:sz w:val="24"/>
              </w:rPr>
              <w:t>Целевые индикаторы и показатели Программы</w:t>
            </w:r>
          </w:p>
        </w:tc>
        <w:tc>
          <w:tcPr>
            <w:tcW w:type="dxa" w:w="7464"/>
            <w:tcBorders>
              <w:top w:color="000000" w:sz="4" w:val="single"/>
              <w:left w:color="000000" w:sz="4" w:val="single"/>
              <w:bottom w:color="000000" w:sz="4" w:val="single"/>
              <w:right w:color="000000" w:sz="4" w:val="single"/>
            </w:tcBorders>
          </w:tcPr>
          <w:p w14:paraId="45000000">
            <w:pPr>
              <w:ind/>
              <w:jc w:val="both"/>
              <w:rPr>
                <w:rFonts w:ascii="Times New Roman" w:hAnsi="Times New Roman"/>
                <w:sz w:val="24"/>
              </w:rPr>
            </w:pPr>
            <w:r>
              <w:rPr>
                <w:rFonts w:ascii="Times New Roman" w:hAnsi="Times New Roman"/>
                <w:sz w:val="24"/>
              </w:rPr>
              <w:t>- уменьшение количества пожаров, снижение рисков возникновения и смягчение последствий чрезвычайных ситуаций;</w:t>
            </w:r>
          </w:p>
          <w:p w14:paraId="46000000">
            <w:pPr>
              <w:ind/>
              <w:jc w:val="both"/>
              <w:rPr>
                <w:rFonts w:ascii="Times New Roman" w:hAnsi="Times New Roman"/>
                <w:sz w:val="24"/>
              </w:rPr>
            </w:pPr>
            <w:r>
              <w:rPr>
                <w:rFonts w:ascii="Times New Roman" w:hAnsi="Times New Roman"/>
                <w:sz w:val="24"/>
              </w:rPr>
              <w:t>- создание необходимых условий для обеспечения пожарной безопасности, защиты жизни и здоровья граждан;</w:t>
            </w:r>
          </w:p>
          <w:p w14:paraId="47000000">
            <w:pPr>
              <w:ind/>
              <w:jc w:val="both"/>
              <w:rPr>
                <w:rFonts w:ascii="Times New Roman" w:hAnsi="Times New Roman"/>
                <w:spacing w:val="-4"/>
                <w:sz w:val="24"/>
              </w:rPr>
            </w:pPr>
            <w:r>
              <w:rPr>
                <w:rFonts w:ascii="Times New Roman" w:hAnsi="Times New Roman"/>
                <w:spacing w:val="-4"/>
                <w:sz w:val="24"/>
              </w:rPr>
              <w:t>- оснащение учреждений социальной сферы системами пожарной автоматики;</w:t>
            </w:r>
          </w:p>
          <w:p w14:paraId="48000000">
            <w:pPr>
              <w:ind/>
              <w:jc w:val="both"/>
              <w:rPr>
                <w:rFonts w:ascii="Times New Roman" w:hAnsi="Times New Roman"/>
                <w:sz w:val="24"/>
              </w:rPr>
            </w:pPr>
            <w:r>
              <w:rPr>
                <w:rFonts w:ascii="Times New Roman" w:hAnsi="Times New Roman"/>
                <w:sz w:val="24"/>
              </w:rPr>
              <w:t>- снижение числа погибших в результате своевременной помощи пострадавшим;</w:t>
            </w:r>
          </w:p>
          <w:p w14:paraId="49000000">
            <w:pPr>
              <w:ind/>
              <w:jc w:val="both"/>
              <w:rPr>
                <w:rFonts w:ascii="Times New Roman" w:hAnsi="Times New Roman"/>
                <w:sz w:val="24"/>
              </w:rPr>
            </w:pPr>
            <w:r>
              <w:rPr>
                <w:rFonts w:ascii="Times New Roman" w:hAnsi="Times New Roman"/>
                <w:sz w:val="24"/>
              </w:rPr>
              <w:t>- улучшение работы по предупреждению правонарушений на водных объектах;</w:t>
            </w:r>
          </w:p>
          <w:p w14:paraId="4A000000">
            <w:pPr>
              <w:widowControl w:val="0"/>
              <w:ind/>
              <w:jc w:val="both"/>
              <w:rPr>
                <w:rFonts w:ascii="Times New Roman" w:hAnsi="Times New Roman"/>
                <w:sz w:val="24"/>
              </w:rPr>
            </w:pPr>
            <w:r>
              <w:rPr>
                <w:rFonts w:ascii="Times New Roman" w:hAnsi="Times New Roman"/>
                <w:sz w:val="24"/>
              </w:rPr>
              <w:t>- улучшение материальной базы учебного процесса по вопросам гражданской обороны и чрезвычайным ситуациям.</w:t>
            </w:r>
          </w:p>
        </w:tc>
      </w:tr>
      <w:tr>
        <w:trPr>
          <w:trHeight w:hRule="atLeast" w:val="1552"/>
        </w:trPr>
        <w:tc>
          <w:tcPr>
            <w:tcW w:type="dxa" w:w="2563"/>
            <w:tcBorders>
              <w:top w:color="000000" w:sz="4" w:val="single"/>
              <w:left w:color="000000" w:sz="4" w:val="single"/>
              <w:bottom w:color="000000" w:sz="4" w:val="single"/>
              <w:right w:color="000000" w:sz="4" w:val="single"/>
            </w:tcBorders>
          </w:tcPr>
          <w:p w14:paraId="4B000000">
            <w:pPr>
              <w:rPr>
                <w:rFonts w:ascii="Times New Roman" w:hAnsi="Times New Roman"/>
                <w:sz w:val="24"/>
              </w:rPr>
            </w:pPr>
          </w:p>
          <w:p w14:paraId="4C000000">
            <w:pPr>
              <w:rPr>
                <w:rFonts w:ascii="Times New Roman" w:hAnsi="Times New Roman"/>
                <w:sz w:val="24"/>
              </w:rPr>
            </w:pPr>
            <w:r>
              <w:rPr>
                <w:rFonts w:ascii="Times New Roman" w:hAnsi="Times New Roman"/>
                <w:sz w:val="24"/>
              </w:rPr>
              <w:t>Этапы и сроки реализации Программы</w:t>
            </w:r>
          </w:p>
          <w:p w14:paraId="4D000000">
            <w:pPr>
              <w:widowControl w:val="0"/>
              <w:ind/>
              <w:rPr>
                <w:rFonts w:ascii="Times New Roman" w:hAnsi="Times New Roman"/>
                <w:sz w:val="24"/>
              </w:rPr>
            </w:pPr>
          </w:p>
        </w:tc>
        <w:tc>
          <w:tcPr>
            <w:tcW w:type="dxa" w:w="7464"/>
            <w:tcBorders>
              <w:top w:color="000000" w:sz="4" w:val="single"/>
              <w:left w:color="000000" w:sz="4" w:val="single"/>
              <w:bottom w:color="000000" w:sz="4" w:val="single"/>
              <w:right w:color="000000" w:sz="4" w:val="single"/>
            </w:tcBorders>
          </w:tcPr>
          <w:p w14:paraId="4E000000">
            <w:pPr>
              <w:ind w:firstLine="10" w:left="0"/>
              <w:rPr>
                <w:rFonts w:ascii="Times New Roman" w:hAnsi="Times New Roman"/>
                <w:sz w:val="24"/>
              </w:rPr>
            </w:pPr>
          </w:p>
          <w:p w14:paraId="4F000000">
            <w:pPr>
              <w:widowControl w:val="0"/>
              <w:ind/>
              <w:jc w:val="center"/>
              <w:rPr>
                <w:rFonts w:ascii="Times New Roman" w:hAnsi="Times New Roman"/>
                <w:sz w:val="24"/>
                <w:highlight w:val="yellow"/>
              </w:rPr>
            </w:pPr>
            <w:r>
              <w:rPr>
                <w:rFonts w:ascii="Times New Roman" w:hAnsi="Times New Roman"/>
                <w:b w:val="1"/>
                <w:sz w:val="24"/>
              </w:rPr>
              <w:t>2014-</w:t>
            </w:r>
            <w:r>
              <w:rPr>
                <w:rFonts w:ascii="Times New Roman" w:hAnsi="Times New Roman"/>
                <w:b w:val="1"/>
                <w:sz w:val="24"/>
              </w:rPr>
              <w:t>2028</w:t>
            </w:r>
            <w:r>
              <w:rPr>
                <w:rFonts w:ascii="Times New Roman" w:hAnsi="Times New Roman"/>
                <w:sz w:val="24"/>
              </w:rPr>
              <w:t xml:space="preserve"> годы</w:t>
            </w:r>
          </w:p>
        </w:tc>
      </w:tr>
      <w:tr>
        <w:tc>
          <w:tcPr>
            <w:tcW w:type="dxa" w:w="2563"/>
            <w:tcBorders>
              <w:top w:color="000000" w:sz="4" w:val="single"/>
              <w:left w:color="000000" w:sz="4" w:val="single"/>
              <w:bottom w:color="000000" w:sz="4" w:val="single"/>
              <w:right w:color="000000" w:sz="4" w:val="single"/>
            </w:tcBorders>
          </w:tcPr>
          <w:p w14:paraId="50000000">
            <w:pPr>
              <w:widowControl w:val="0"/>
              <w:ind/>
              <w:rPr>
                <w:rFonts w:ascii="Times New Roman" w:hAnsi="Times New Roman"/>
                <w:sz w:val="24"/>
              </w:rPr>
            </w:pPr>
            <w:r>
              <w:rPr>
                <w:rFonts w:ascii="Times New Roman" w:hAnsi="Times New Roman"/>
                <w:sz w:val="24"/>
              </w:rPr>
              <w:t>Объемы бюджетных ассигнований Программы</w:t>
            </w:r>
          </w:p>
        </w:tc>
        <w:tc>
          <w:tcPr>
            <w:tcW w:type="dxa" w:w="7464"/>
            <w:tcBorders>
              <w:top w:color="000000" w:sz="4" w:val="single"/>
              <w:left w:color="000000" w:sz="4" w:val="single"/>
              <w:bottom w:color="000000" w:sz="4" w:val="single"/>
              <w:right w:color="000000" w:sz="4" w:val="single"/>
            </w:tcBorders>
          </w:tcPr>
          <w:p w14:paraId="51000000">
            <w:pPr>
              <w:pStyle w:val="Style_5"/>
              <w:widowControl w:val="1"/>
              <w:ind/>
              <w:jc w:val="center"/>
              <w:rPr>
                <w:rFonts w:ascii="Times New Roman" w:hAnsi="Times New Roman"/>
                <w:sz w:val="24"/>
              </w:rPr>
            </w:pPr>
            <w:r>
              <w:rPr>
                <w:rFonts w:ascii="Times New Roman" w:hAnsi="Times New Roman"/>
                <w:sz w:val="24"/>
              </w:rPr>
              <w:t>- Источниками финансирования Программы являются средства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w:t>
            </w:r>
          </w:p>
          <w:p w14:paraId="52000000">
            <w:pPr>
              <w:pStyle w:val="Style_5"/>
              <w:widowControl w:val="1"/>
              <w:ind/>
              <w:jc w:val="center"/>
              <w:rPr>
                <w:rFonts w:ascii="Times New Roman" w:hAnsi="Times New Roman"/>
                <w:sz w:val="24"/>
              </w:rPr>
            </w:pPr>
          </w:p>
          <w:p w14:paraId="53000000">
            <w:pPr>
              <w:pStyle w:val="Style_5"/>
              <w:widowControl w:val="1"/>
              <w:ind/>
              <w:jc w:val="center"/>
              <w:rPr>
                <w:rFonts w:ascii="Times New Roman" w:hAnsi="Times New Roman"/>
                <w:sz w:val="24"/>
              </w:rPr>
            </w:pPr>
            <w:r>
              <w:rPr>
                <w:rFonts w:ascii="Times New Roman" w:hAnsi="Times New Roman"/>
                <w:sz w:val="24"/>
              </w:rPr>
              <w:t xml:space="preserve">- Общий объем финансирования Программы составляет </w:t>
            </w:r>
          </w:p>
          <w:p w14:paraId="54000000">
            <w:pPr>
              <w:pStyle w:val="Style_5"/>
              <w:widowControl w:val="1"/>
              <w:ind/>
              <w:jc w:val="center"/>
              <w:rPr>
                <w:rFonts w:ascii="Times New Roman" w:hAnsi="Times New Roman"/>
                <w:sz w:val="24"/>
              </w:rPr>
            </w:pPr>
            <w:r>
              <w:rPr>
                <w:rFonts w:ascii="Times New Roman" w:hAnsi="Times New Roman"/>
                <w:b w:val="1"/>
                <w:sz w:val="24"/>
              </w:rPr>
              <w:t xml:space="preserve">72000 </w:t>
            </w:r>
            <w:r>
              <w:rPr>
                <w:rFonts w:ascii="Times New Roman" w:hAnsi="Times New Roman"/>
                <w:sz w:val="24"/>
              </w:rPr>
              <w:t>рублей, в том числе по годам:</w:t>
            </w:r>
          </w:p>
          <w:p w14:paraId="55000000">
            <w:pPr>
              <w:pStyle w:val="Style_5"/>
              <w:widowControl w:val="1"/>
              <w:ind/>
              <w:jc w:val="center"/>
              <w:rPr>
                <w:rFonts w:ascii="Times New Roman" w:hAnsi="Times New Roman"/>
                <w:sz w:val="24"/>
              </w:rPr>
            </w:pPr>
          </w:p>
          <w:p w14:paraId="56000000">
            <w:pPr>
              <w:pStyle w:val="Style_5"/>
              <w:widowControl w:val="1"/>
              <w:ind w:firstLine="0" w:left="40"/>
              <w:jc w:val="center"/>
              <w:rPr>
                <w:rFonts w:ascii="Times New Roman" w:hAnsi="Times New Roman"/>
                <w:b w:val="1"/>
                <w:sz w:val="24"/>
                <w:u w:val="single"/>
              </w:rPr>
            </w:pPr>
            <w:r>
              <w:rPr>
                <w:rFonts w:ascii="Times New Roman" w:hAnsi="Times New Roman"/>
                <w:b w:val="1"/>
                <w:sz w:val="24"/>
                <w:u w:val="single"/>
              </w:rPr>
              <w:t>2014 год</w:t>
            </w:r>
          </w:p>
          <w:p w14:paraId="57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58000000">
            <w:pPr>
              <w:pStyle w:val="Style_5"/>
              <w:widowControl w:val="1"/>
              <w:ind/>
              <w:jc w:val="center"/>
              <w:rPr>
                <w:rFonts w:ascii="Times New Roman" w:hAnsi="Times New Roman"/>
                <w:sz w:val="24"/>
              </w:rPr>
            </w:pPr>
          </w:p>
          <w:p w14:paraId="59000000">
            <w:pPr>
              <w:pStyle w:val="Style_5"/>
              <w:widowControl w:val="1"/>
              <w:ind/>
              <w:jc w:val="center"/>
              <w:rPr>
                <w:rFonts w:ascii="Times New Roman" w:hAnsi="Times New Roman"/>
                <w:sz w:val="24"/>
              </w:rPr>
            </w:pPr>
          </w:p>
          <w:p w14:paraId="5A000000">
            <w:pPr>
              <w:pStyle w:val="Style_5"/>
              <w:widowControl w:val="1"/>
              <w:ind w:firstLine="0" w:left="40"/>
              <w:jc w:val="center"/>
              <w:rPr>
                <w:rFonts w:ascii="Times New Roman" w:hAnsi="Times New Roman"/>
                <w:b w:val="1"/>
                <w:sz w:val="24"/>
                <w:u w:val="single"/>
              </w:rPr>
            </w:pPr>
            <w:r>
              <w:rPr>
                <w:rFonts w:ascii="Times New Roman" w:hAnsi="Times New Roman"/>
                <w:b w:val="1"/>
                <w:sz w:val="24"/>
                <w:u w:val="single"/>
              </w:rPr>
              <w:t>2015 год</w:t>
            </w:r>
          </w:p>
          <w:p w14:paraId="5B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5C000000">
            <w:pPr>
              <w:pStyle w:val="Style_5"/>
              <w:widowControl w:val="1"/>
              <w:ind w:firstLine="0" w:left="40"/>
              <w:jc w:val="center"/>
              <w:rPr>
                <w:rFonts w:ascii="Times New Roman" w:hAnsi="Times New Roman"/>
                <w:b w:val="1"/>
                <w:sz w:val="24"/>
                <w:u w:val="single"/>
              </w:rPr>
            </w:pPr>
          </w:p>
          <w:p w14:paraId="5D000000">
            <w:pPr>
              <w:pStyle w:val="Style_5"/>
              <w:widowControl w:val="1"/>
              <w:ind w:firstLine="0" w:left="40"/>
              <w:jc w:val="center"/>
              <w:rPr>
                <w:rFonts w:ascii="Times New Roman" w:hAnsi="Times New Roman"/>
                <w:b w:val="1"/>
                <w:sz w:val="24"/>
                <w:u w:val="single"/>
              </w:rPr>
            </w:pPr>
            <w:r>
              <w:rPr>
                <w:rFonts w:ascii="Times New Roman" w:hAnsi="Times New Roman"/>
                <w:b w:val="1"/>
                <w:sz w:val="24"/>
                <w:u w:val="single"/>
              </w:rPr>
              <w:t>2016 год</w:t>
            </w:r>
          </w:p>
          <w:p w14:paraId="5E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5F000000">
            <w:pPr>
              <w:pStyle w:val="Style_5"/>
              <w:widowControl w:val="1"/>
              <w:ind/>
              <w:jc w:val="center"/>
              <w:rPr>
                <w:rFonts w:ascii="Times New Roman" w:hAnsi="Times New Roman"/>
                <w:sz w:val="24"/>
              </w:rPr>
            </w:pPr>
          </w:p>
          <w:p w14:paraId="60000000">
            <w:pPr>
              <w:pStyle w:val="Style_5"/>
              <w:widowControl w:val="1"/>
              <w:ind/>
              <w:jc w:val="center"/>
              <w:rPr>
                <w:rFonts w:ascii="Times New Roman" w:hAnsi="Times New Roman"/>
                <w:sz w:val="24"/>
              </w:rPr>
            </w:pPr>
          </w:p>
          <w:p w14:paraId="61000000">
            <w:pPr>
              <w:pStyle w:val="Style_5"/>
              <w:widowControl w:val="1"/>
              <w:ind/>
              <w:jc w:val="center"/>
              <w:rPr>
                <w:rFonts w:ascii="Times New Roman" w:hAnsi="Times New Roman"/>
                <w:b w:val="1"/>
                <w:sz w:val="24"/>
                <w:u w:val="single"/>
              </w:rPr>
            </w:pPr>
            <w:r>
              <w:rPr>
                <w:rFonts w:ascii="Times New Roman" w:hAnsi="Times New Roman"/>
                <w:b w:val="1"/>
                <w:sz w:val="24"/>
                <w:u w:val="single"/>
              </w:rPr>
              <w:t>2017 год</w:t>
            </w:r>
          </w:p>
          <w:p w14:paraId="62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63000000">
            <w:pPr>
              <w:pStyle w:val="Style_5"/>
              <w:widowControl w:val="1"/>
              <w:ind/>
              <w:jc w:val="center"/>
              <w:rPr>
                <w:rFonts w:ascii="Times New Roman" w:hAnsi="Times New Roman"/>
                <w:sz w:val="24"/>
              </w:rPr>
            </w:pPr>
          </w:p>
          <w:p w14:paraId="64000000">
            <w:pPr>
              <w:pStyle w:val="Style_5"/>
              <w:widowControl w:val="1"/>
              <w:ind/>
              <w:jc w:val="center"/>
              <w:rPr>
                <w:rFonts w:ascii="Times New Roman" w:hAnsi="Times New Roman"/>
                <w:b w:val="1"/>
                <w:sz w:val="24"/>
                <w:u w:val="single"/>
              </w:rPr>
            </w:pPr>
            <w:r>
              <w:rPr>
                <w:rFonts w:ascii="Times New Roman" w:hAnsi="Times New Roman"/>
                <w:b w:val="1"/>
                <w:sz w:val="24"/>
                <w:u w:val="single"/>
              </w:rPr>
              <w:t>2018 год</w:t>
            </w:r>
          </w:p>
          <w:p w14:paraId="65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66000000">
            <w:pPr>
              <w:pStyle w:val="Style_5"/>
              <w:widowControl w:val="1"/>
              <w:ind/>
              <w:jc w:val="center"/>
              <w:rPr>
                <w:rFonts w:ascii="Times New Roman" w:hAnsi="Times New Roman"/>
                <w:sz w:val="24"/>
              </w:rPr>
            </w:pPr>
          </w:p>
          <w:p w14:paraId="67000000">
            <w:pPr>
              <w:pStyle w:val="Style_5"/>
              <w:widowControl w:val="1"/>
              <w:ind/>
              <w:jc w:val="center"/>
              <w:rPr>
                <w:rFonts w:ascii="Times New Roman" w:hAnsi="Times New Roman"/>
                <w:b w:val="1"/>
                <w:sz w:val="24"/>
                <w:u w:val="single"/>
              </w:rPr>
            </w:pPr>
            <w:r>
              <w:rPr>
                <w:rFonts w:ascii="Times New Roman" w:hAnsi="Times New Roman"/>
                <w:b w:val="1"/>
                <w:sz w:val="24"/>
                <w:u w:val="single"/>
              </w:rPr>
              <w:t>2019 год</w:t>
            </w:r>
          </w:p>
          <w:p w14:paraId="68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69000000">
            <w:pPr>
              <w:pStyle w:val="Style_5"/>
              <w:widowControl w:val="1"/>
              <w:ind/>
              <w:jc w:val="center"/>
              <w:rPr>
                <w:rFonts w:ascii="Times New Roman" w:hAnsi="Times New Roman"/>
                <w:sz w:val="24"/>
              </w:rPr>
            </w:pPr>
          </w:p>
          <w:p w14:paraId="6A000000">
            <w:pPr>
              <w:pStyle w:val="Style_5"/>
              <w:widowControl w:val="1"/>
              <w:ind/>
              <w:jc w:val="center"/>
              <w:rPr>
                <w:rFonts w:ascii="Times New Roman" w:hAnsi="Times New Roman"/>
                <w:b w:val="1"/>
                <w:sz w:val="24"/>
                <w:u w:val="single"/>
              </w:rPr>
            </w:pPr>
            <w:r>
              <w:rPr>
                <w:rFonts w:ascii="Times New Roman" w:hAnsi="Times New Roman"/>
                <w:b w:val="1"/>
                <w:sz w:val="24"/>
                <w:u w:val="single"/>
              </w:rPr>
              <w:t>2020 год</w:t>
            </w:r>
          </w:p>
          <w:p w14:paraId="6B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6C000000">
            <w:pPr>
              <w:pStyle w:val="Style_5"/>
              <w:widowControl w:val="1"/>
              <w:ind/>
              <w:jc w:val="center"/>
              <w:rPr>
                <w:rFonts w:ascii="Times New Roman" w:hAnsi="Times New Roman"/>
                <w:sz w:val="24"/>
              </w:rPr>
            </w:pPr>
          </w:p>
          <w:p w14:paraId="6D000000">
            <w:pPr>
              <w:pStyle w:val="Style_5"/>
              <w:widowControl w:val="1"/>
              <w:ind/>
              <w:jc w:val="center"/>
              <w:rPr>
                <w:rFonts w:ascii="Times New Roman" w:hAnsi="Times New Roman"/>
                <w:b w:val="1"/>
                <w:sz w:val="24"/>
                <w:u w:val="single"/>
              </w:rPr>
            </w:pPr>
            <w:r>
              <w:rPr>
                <w:rFonts w:ascii="Times New Roman" w:hAnsi="Times New Roman"/>
                <w:b w:val="1"/>
                <w:sz w:val="24"/>
                <w:u w:val="single"/>
              </w:rPr>
              <w:t>2021 год</w:t>
            </w:r>
          </w:p>
          <w:p w14:paraId="6E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r>
              <w:rPr>
                <w:rFonts w:ascii="Times New Roman" w:hAnsi="Times New Roman"/>
                <w:sz w:val="24"/>
              </w:rPr>
              <w:t>;</w:t>
            </w:r>
          </w:p>
          <w:p w14:paraId="6F000000">
            <w:pPr>
              <w:pStyle w:val="Style_5"/>
              <w:widowControl w:val="1"/>
              <w:ind/>
              <w:jc w:val="center"/>
              <w:rPr>
                <w:rFonts w:ascii="Times New Roman" w:hAnsi="Times New Roman"/>
                <w:sz w:val="24"/>
              </w:rPr>
            </w:pPr>
          </w:p>
          <w:p w14:paraId="70000000">
            <w:pPr>
              <w:pStyle w:val="Style_5"/>
              <w:widowControl w:val="1"/>
              <w:ind/>
              <w:jc w:val="center"/>
              <w:rPr>
                <w:rFonts w:ascii="Times New Roman" w:hAnsi="Times New Roman"/>
                <w:b w:val="1"/>
                <w:sz w:val="24"/>
                <w:u w:val="single"/>
              </w:rPr>
            </w:pPr>
            <w:r>
              <w:rPr>
                <w:rFonts w:ascii="Times New Roman" w:hAnsi="Times New Roman"/>
                <w:b w:val="1"/>
                <w:sz w:val="24"/>
                <w:u w:val="single"/>
              </w:rPr>
              <w:t>2022 год</w:t>
            </w:r>
          </w:p>
          <w:p w14:paraId="71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p>
          <w:p w14:paraId="72000000">
            <w:pPr>
              <w:pStyle w:val="Style_5"/>
              <w:widowControl w:val="1"/>
              <w:ind/>
              <w:jc w:val="center"/>
              <w:rPr>
                <w:rFonts w:ascii="Times New Roman" w:hAnsi="Times New Roman"/>
                <w:sz w:val="24"/>
              </w:rPr>
            </w:pPr>
          </w:p>
          <w:p w14:paraId="73000000">
            <w:pPr>
              <w:pStyle w:val="Style_5"/>
              <w:widowControl w:val="1"/>
              <w:ind/>
              <w:jc w:val="center"/>
              <w:rPr>
                <w:rFonts w:ascii="Times New Roman" w:hAnsi="Times New Roman"/>
                <w:b w:val="1"/>
                <w:sz w:val="24"/>
                <w:u w:val="single"/>
              </w:rPr>
            </w:pPr>
            <w:r>
              <w:rPr>
                <w:rFonts w:ascii="Times New Roman" w:hAnsi="Times New Roman"/>
                <w:b w:val="1"/>
                <w:sz w:val="24"/>
                <w:u w:val="single"/>
              </w:rPr>
              <w:t>2023 год</w:t>
            </w:r>
          </w:p>
          <w:p w14:paraId="74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2000  руб.</w:t>
            </w:r>
          </w:p>
          <w:p w14:paraId="75000000">
            <w:pPr>
              <w:pStyle w:val="Style_5"/>
              <w:widowControl w:val="1"/>
              <w:ind/>
              <w:jc w:val="center"/>
              <w:rPr>
                <w:rFonts w:ascii="Times New Roman" w:hAnsi="Times New Roman"/>
                <w:sz w:val="24"/>
              </w:rPr>
            </w:pPr>
          </w:p>
          <w:p w14:paraId="76000000">
            <w:pPr>
              <w:pStyle w:val="Style_5"/>
              <w:widowControl w:val="1"/>
              <w:ind/>
              <w:jc w:val="center"/>
              <w:rPr>
                <w:rFonts w:ascii="Times New Roman" w:hAnsi="Times New Roman"/>
                <w:b w:val="1"/>
                <w:sz w:val="24"/>
                <w:u w:val="single"/>
              </w:rPr>
            </w:pPr>
            <w:r>
              <w:rPr>
                <w:rFonts w:ascii="Times New Roman" w:hAnsi="Times New Roman"/>
                <w:b w:val="1"/>
                <w:sz w:val="24"/>
                <w:u w:val="single"/>
              </w:rPr>
              <w:t>202</w:t>
            </w:r>
            <w:r>
              <w:rPr>
                <w:rFonts w:ascii="Times New Roman" w:hAnsi="Times New Roman"/>
                <w:b w:val="1"/>
                <w:sz w:val="24"/>
                <w:u w:val="single"/>
              </w:rPr>
              <w:t>4</w:t>
            </w:r>
            <w:r>
              <w:rPr>
                <w:rFonts w:ascii="Times New Roman" w:hAnsi="Times New Roman"/>
                <w:b w:val="1"/>
                <w:sz w:val="24"/>
                <w:u w:val="single"/>
              </w:rPr>
              <w:t xml:space="preserve"> год</w:t>
            </w:r>
          </w:p>
          <w:p w14:paraId="77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3000  руб.</w:t>
            </w:r>
          </w:p>
          <w:p w14:paraId="78000000">
            <w:pPr>
              <w:pStyle w:val="Style_5"/>
              <w:widowControl w:val="1"/>
              <w:ind/>
              <w:jc w:val="center"/>
              <w:rPr>
                <w:rFonts w:ascii="Times New Roman" w:hAnsi="Times New Roman"/>
                <w:sz w:val="24"/>
              </w:rPr>
            </w:pPr>
          </w:p>
          <w:p w14:paraId="79000000">
            <w:pPr>
              <w:pStyle w:val="Style_5"/>
              <w:widowControl w:val="1"/>
              <w:ind/>
              <w:jc w:val="center"/>
              <w:rPr>
                <w:rFonts w:ascii="Times New Roman" w:hAnsi="Times New Roman"/>
                <w:sz w:val="24"/>
              </w:rPr>
            </w:pPr>
          </w:p>
          <w:p w14:paraId="7A000000">
            <w:pPr>
              <w:pStyle w:val="Style_5"/>
              <w:widowControl w:val="1"/>
              <w:ind/>
              <w:jc w:val="center"/>
              <w:rPr>
                <w:rFonts w:ascii="Times New Roman" w:hAnsi="Times New Roman"/>
                <w:b w:val="1"/>
                <w:sz w:val="24"/>
                <w:u w:val="single"/>
              </w:rPr>
            </w:pPr>
            <w:r>
              <w:rPr>
                <w:rFonts w:ascii="Times New Roman" w:hAnsi="Times New Roman"/>
                <w:b w:val="1"/>
                <w:sz w:val="24"/>
                <w:u w:val="single"/>
              </w:rPr>
              <w:t>2025</w:t>
            </w:r>
            <w:r>
              <w:rPr>
                <w:rFonts w:ascii="Times New Roman" w:hAnsi="Times New Roman"/>
                <w:b w:val="1"/>
                <w:sz w:val="24"/>
                <w:u w:val="single"/>
              </w:rPr>
              <w:t xml:space="preserve"> год</w:t>
            </w:r>
          </w:p>
          <w:p w14:paraId="7B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sz w:val="24"/>
              </w:rPr>
              <w:t>10</w:t>
            </w:r>
            <w:r>
              <w:rPr>
                <w:rFonts w:ascii="Times New Roman" w:hAnsi="Times New Roman"/>
                <w:sz w:val="24"/>
              </w:rPr>
              <w:t xml:space="preserve"> </w:t>
            </w:r>
            <w:r>
              <w:rPr>
                <w:rFonts w:ascii="Times New Roman" w:hAnsi="Times New Roman"/>
                <w:sz w:val="24"/>
              </w:rPr>
              <w:t>000</w:t>
            </w:r>
            <w:r>
              <w:rPr>
                <w:rFonts w:ascii="Times New Roman" w:hAnsi="Times New Roman"/>
                <w:sz w:val="24"/>
              </w:rPr>
              <w:t xml:space="preserve"> руб.</w:t>
            </w:r>
          </w:p>
          <w:p w14:paraId="7C000000">
            <w:pPr>
              <w:pStyle w:val="Style_5"/>
              <w:widowControl w:val="1"/>
              <w:ind/>
              <w:jc w:val="center"/>
              <w:rPr>
                <w:rFonts w:ascii="Times New Roman" w:hAnsi="Times New Roman"/>
                <w:sz w:val="24"/>
              </w:rPr>
            </w:pPr>
          </w:p>
          <w:p w14:paraId="7D000000">
            <w:pPr>
              <w:pStyle w:val="Style_5"/>
              <w:widowControl w:val="1"/>
              <w:ind/>
              <w:jc w:val="center"/>
              <w:rPr>
                <w:rFonts w:ascii="Times New Roman" w:hAnsi="Times New Roman"/>
                <w:sz w:val="24"/>
              </w:rPr>
            </w:pPr>
          </w:p>
          <w:p w14:paraId="7E000000">
            <w:pPr>
              <w:pStyle w:val="Style_5"/>
              <w:widowControl w:val="1"/>
              <w:ind/>
              <w:jc w:val="center"/>
              <w:rPr>
                <w:rFonts w:ascii="Times New Roman" w:hAnsi="Times New Roman"/>
                <w:b w:val="1"/>
                <w:sz w:val="24"/>
                <w:u w:val="single"/>
              </w:rPr>
            </w:pPr>
            <w:r>
              <w:rPr>
                <w:rFonts w:ascii="Times New Roman" w:hAnsi="Times New Roman"/>
                <w:b w:val="1"/>
                <w:sz w:val="24"/>
                <w:u w:val="single"/>
              </w:rPr>
              <w:t>2026</w:t>
            </w:r>
            <w:r>
              <w:rPr>
                <w:rFonts w:ascii="Times New Roman" w:hAnsi="Times New Roman"/>
                <w:b w:val="1"/>
                <w:sz w:val="24"/>
                <w:u w:val="single"/>
              </w:rPr>
              <w:t xml:space="preserve"> год</w:t>
            </w:r>
          </w:p>
          <w:p w14:paraId="7F000000">
            <w:pPr>
              <w:pStyle w:val="Style_5"/>
              <w:widowControl w:val="1"/>
              <w:ind/>
              <w:jc w:val="center"/>
              <w:rPr>
                <w:rFonts w:ascii="Times New Roman" w:hAnsi="Times New Roman"/>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b w:val="1"/>
                <w:sz w:val="24"/>
              </w:rPr>
              <w:t xml:space="preserve">10 </w:t>
            </w:r>
            <w:r>
              <w:rPr>
                <w:rFonts w:ascii="Times New Roman" w:hAnsi="Times New Roman"/>
                <w:b w:val="1"/>
                <w:sz w:val="24"/>
              </w:rPr>
              <w:t>000  руб.</w:t>
            </w:r>
          </w:p>
          <w:p w14:paraId="80000000">
            <w:pPr>
              <w:pStyle w:val="Style_5"/>
              <w:widowControl w:val="1"/>
              <w:ind/>
              <w:jc w:val="center"/>
              <w:rPr>
                <w:rFonts w:ascii="Times New Roman" w:hAnsi="Times New Roman"/>
                <w:sz w:val="24"/>
              </w:rPr>
            </w:pPr>
          </w:p>
          <w:p w14:paraId="81000000">
            <w:pPr>
              <w:pStyle w:val="Style_5"/>
              <w:widowControl w:val="1"/>
              <w:ind/>
              <w:jc w:val="center"/>
              <w:rPr>
                <w:rFonts w:ascii="Times New Roman" w:hAnsi="Times New Roman"/>
                <w:b w:val="1"/>
                <w:sz w:val="24"/>
                <w:u w:val="single"/>
              </w:rPr>
            </w:pPr>
            <w:r>
              <w:rPr>
                <w:rFonts w:ascii="Times New Roman" w:hAnsi="Times New Roman"/>
                <w:b w:val="1"/>
                <w:sz w:val="24"/>
                <w:u w:val="single"/>
              </w:rPr>
              <w:t>2027</w:t>
            </w:r>
            <w:r>
              <w:rPr>
                <w:rFonts w:ascii="Times New Roman" w:hAnsi="Times New Roman"/>
                <w:b w:val="1"/>
                <w:sz w:val="24"/>
                <w:u w:val="single"/>
              </w:rPr>
              <w:t xml:space="preserve"> год</w:t>
            </w:r>
          </w:p>
          <w:p w14:paraId="82000000">
            <w:pPr>
              <w:pStyle w:val="Style_5"/>
              <w:widowControl w:val="1"/>
              <w:ind/>
              <w:jc w:val="center"/>
              <w:rPr>
                <w:rFonts w:ascii="Times New Roman" w:hAnsi="Times New Roman"/>
                <w:b w:val="1"/>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b w:val="1"/>
                <w:sz w:val="24"/>
              </w:rPr>
              <w:t>10</w:t>
            </w:r>
            <w:r>
              <w:rPr>
                <w:rFonts w:ascii="Times New Roman" w:hAnsi="Times New Roman"/>
                <w:sz w:val="24"/>
              </w:rPr>
              <w:t xml:space="preserve"> </w:t>
            </w:r>
            <w:r>
              <w:rPr>
                <w:rFonts w:ascii="Times New Roman" w:hAnsi="Times New Roman"/>
                <w:b w:val="1"/>
                <w:sz w:val="24"/>
              </w:rPr>
              <w:t>000  руб.</w:t>
            </w:r>
          </w:p>
          <w:p w14:paraId="83000000">
            <w:pPr>
              <w:pStyle w:val="Style_5"/>
              <w:widowControl w:val="1"/>
              <w:ind/>
              <w:jc w:val="center"/>
              <w:rPr>
                <w:rFonts w:ascii="Times New Roman" w:hAnsi="Times New Roman"/>
                <w:sz w:val="24"/>
              </w:rPr>
            </w:pPr>
          </w:p>
          <w:p w14:paraId="84000000">
            <w:pPr>
              <w:pStyle w:val="Style_5"/>
              <w:ind/>
              <w:jc w:val="center"/>
              <w:rPr>
                <w:rFonts w:ascii="Times New Roman" w:hAnsi="Times New Roman"/>
                <w:b w:val="1"/>
                <w:sz w:val="24"/>
                <w:u w:val="single"/>
              </w:rPr>
            </w:pPr>
            <w:r>
              <w:rPr>
                <w:rFonts w:ascii="Times New Roman" w:hAnsi="Times New Roman"/>
                <w:b w:val="1"/>
                <w:sz w:val="24"/>
                <w:u w:val="single"/>
              </w:rPr>
              <w:t>2028</w:t>
            </w:r>
            <w:r>
              <w:rPr>
                <w:rFonts w:ascii="Times New Roman" w:hAnsi="Times New Roman"/>
                <w:b w:val="1"/>
                <w:sz w:val="24"/>
                <w:u w:val="single"/>
              </w:rPr>
              <w:t xml:space="preserve"> год</w:t>
            </w:r>
          </w:p>
          <w:p w14:paraId="85000000">
            <w:pPr>
              <w:pStyle w:val="Style_5"/>
              <w:ind/>
              <w:jc w:val="center"/>
              <w:rPr>
                <w:rFonts w:ascii="Times New Roman" w:hAnsi="Times New Roman"/>
                <w:b w:val="1"/>
                <w:sz w:val="24"/>
              </w:rPr>
            </w:pPr>
            <w:r>
              <w:rPr>
                <w:rFonts w:ascii="Times New Roman" w:hAnsi="Times New Roman"/>
                <w:sz w:val="24"/>
              </w:rPr>
              <w:t>за счет средств бюджета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w:t>
            </w:r>
            <w:r>
              <w:rPr>
                <w:rFonts w:ascii="Times New Roman" w:hAnsi="Times New Roman"/>
                <w:b w:val="1"/>
                <w:sz w:val="24"/>
              </w:rPr>
              <w:t xml:space="preserve">10 </w:t>
            </w:r>
            <w:r>
              <w:rPr>
                <w:rFonts w:ascii="Times New Roman" w:hAnsi="Times New Roman"/>
                <w:b w:val="1"/>
                <w:sz w:val="24"/>
              </w:rPr>
              <w:t>000  руб.</w:t>
            </w:r>
          </w:p>
          <w:p w14:paraId="86000000">
            <w:pPr>
              <w:pStyle w:val="Style_5"/>
              <w:widowControl w:val="1"/>
              <w:ind/>
              <w:jc w:val="center"/>
              <w:rPr>
                <w:rFonts w:ascii="Times New Roman" w:hAnsi="Times New Roman"/>
                <w:sz w:val="24"/>
              </w:rPr>
            </w:pPr>
          </w:p>
        </w:tc>
      </w:tr>
      <w:tr>
        <w:tc>
          <w:tcPr>
            <w:tcW w:type="dxa" w:w="2563"/>
            <w:tcBorders>
              <w:top w:color="000000" w:sz="4" w:val="single"/>
              <w:left w:color="000000" w:sz="4" w:val="single"/>
              <w:bottom w:color="000000" w:sz="4" w:val="single"/>
              <w:right w:color="000000" w:sz="4" w:val="single"/>
            </w:tcBorders>
          </w:tcPr>
          <w:p w14:paraId="87000000">
            <w:pPr>
              <w:widowControl w:val="0"/>
              <w:ind/>
              <w:rPr>
                <w:rFonts w:ascii="Times New Roman" w:hAnsi="Times New Roman"/>
                <w:sz w:val="24"/>
              </w:rPr>
            </w:pPr>
            <w:r>
              <w:rPr>
                <w:rFonts w:ascii="Times New Roman" w:hAnsi="Times New Roman"/>
                <w:sz w:val="24"/>
              </w:rPr>
              <w:t>Ожидаемые результаты реализации Программы</w:t>
            </w:r>
          </w:p>
        </w:tc>
        <w:tc>
          <w:tcPr>
            <w:tcW w:type="dxa" w:w="7464"/>
            <w:tcBorders>
              <w:top w:color="000000" w:sz="4" w:val="single"/>
              <w:left w:color="000000" w:sz="4" w:val="single"/>
              <w:bottom w:color="000000" w:sz="4" w:val="single"/>
              <w:right w:color="000000" w:sz="4" w:val="single"/>
            </w:tcBorders>
          </w:tcPr>
          <w:p w14:paraId="88000000">
            <w:pPr>
              <w:pStyle w:val="Style_5"/>
              <w:widowControl w:val="1"/>
              <w:ind w:firstLine="40" w:left="0"/>
              <w:jc w:val="both"/>
              <w:rPr>
                <w:rFonts w:ascii="Times New Roman" w:hAnsi="Times New Roman"/>
                <w:sz w:val="24"/>
              </w:rPr>
            </w:pPr>
            <w:r>
              <w:rPr>
                <w:rFonts w:ascii="Times New Roman" w:hAnsi="Times New Roman"/>
                <w:sz w:val="24"/>
              </w:rPr>
              <w:t>Основными ожидаемыми результатами реализации</w:t>
            </w:r>
          </w:p>
          <w:p w14:paraId="89000000">
            <w:pPr>
              <w:pStyle w:val="Style_5"/>
              <w:widowControl w:val="1"/>
              <w:ind w:firstLine="40" w:left="0"/>
              <w:jc w:val="both"/>
              <w:rPr>
                <w:rFonts w:ascii="Times New Roman" w:hAnsi="Times New Roman"/>
                <w:sz w:val="24"/>
              </w:rPr>
            </w:pPr>
            <w:r>
              <w:rPr>
                <w:rFonts w:ascii="Times New Roman" w:hAnsi="Times New Roman"/>
                <w:sz w:val="24"/>
              </w:rPr>
              <w:t xml:space="preserve">Программы являются:    </w:t>
            </w:r>
          </w:p>
          <w:p w14:paraId="8A000000">
            <w:pPr>
              <w:pStyle w:val="Style_5"/>
              <w:widowControl w:val="1"/>
              <w:ind/>
              <w:jc w:val="both"/>
              <w:rPr>
                <w:rFonts w:ascii="Times New Roman" w:hAnsi="Times New Roman"/>
                <w:sz w:val="24"/>
              </w:rPr>
            </w:pPr>
            <w:r>
              <w:rPr>
                <w:rFonts w:ascii="Times New Roman" w:hAnsi="Times New Roman"/>
                <w:sz w:val="24"/>
              </w:rPr>
              <w:t xml:space="preserve"> -уменьшение среднего времени реагирования оперативных служб при происшествии на 10 минут;</w:t>
            </w:r>
          </w:p>
          <w:p w14:paraId="8B000000">
            <w:pPr>
              <w:pStyle w:val="Style_5"/>
              <w:widowControl w:val="1"/>
              <w:ind w:firstLine="40" w:left="0"/>
              <w:jc w:val="both"/>
              <w:rPr>
                <w:rFonts w:ascii="Times New Roman" w:hAnsi="Times New Roman"/>
                <w:sz w:val="24"/>
              </w:rPr>
            </w:pPr>
            <w:r>
              <w:rPr>
                <w:rFonts w:ascii="Times New Roman" w:hAnsi="Times New Roman"/>
                <w:sz w:val="24"/>
              </w:rPr>
              <w:t xml:space="preserve">-повышение качества подготовки безопасных районов к размещению эвакуируемого населения, </w:t>
            </w:r>
            <w:r>
              <w:rPr>
                <w:rFonts w:ascii="Times New Roman" w:hAnsi="Times New Roman"/>
                <w:sz w:val="24"/>
              </w:rPr>
              <w:t>его  жизнеобеспечения</w:t>
            </w:r>
            <w:r>
              <w:rPr>
                <w:rFonts w:ascii="Times New Roman" w:hAnsi="Times New Roman"/>
                <w:sz w:val="24"/>
              </w:rPr>
              <w:t>, размещения материальных и культурных ценностей</w:t>
            </w:r>
          </w:p>
          <w:p w14:paraId="8C000000">
            <w:pPr>
              <w:pStyle w:val="Style_5"/>
              <w:widowControl w:val="1"/>
              <w:ind w:firstLine="40" w:left="0"/>
              <w:jc w:val="both"/>
              <w:rPr>
                <w:rFonts w:ascii="Times New Roman" w:hAnsi="Times New Roman"/>
                <w:sz w:val="24"/>
              </w:rPr>
            </w:pPr>
            <w:r>
              <w:rPr>
                <w:rFonts w:ascii="Times New Roman" w:hAnsi="Times New Roman"/>
                <w:sz w:val="24"/>
              </w:rPr>
              <w:t>- снижение количества гибели людей на 27%;</w:t>
            </w:r>
          </w:p>
          <w:p w14:paraId="8D000000">
            <w:pPr>
              <w:pStyle w:val="Style_5"/>
              <w:widowControl w:val="1"/>
              <w:ind w:firstLine="40" w:left="0"/>
              <w:jc w:val="both"/>
              <w:rPr>
                <w:rFonts w:ascii="Times New Roman" w:hAnsi="Times New Roman"/>
                <w:sz w:val="24"/>
              </w:rPr>
            </w:pPr>
            <w:r>
              <w:rPr>
                <w:rFonts w:ascii="Times New Roman" w:hAnsi="Times New Roman"/>
                <w:sz w:val="24"/>
              </w:rPr>
              <w:t>- снижение количества пострадавшего населения на 30%;</w:t>
            </w:r>
          </w:p>
          <w:p w14:paraId="8E000000">
            <w:pPr>
              <w:pStyle w:val="Style_5"/>
              <w:widowControl w:val="1"/>
              <w:ind w:firstLine="40" w:left="0"/>
              <w:jc w:val="both"/>
              <w:rPr>
                <w:rFonts w:ascii="Times New Roman" w:hAnsi="Times New Roman"/>
                <w:sz w:val="24"/>
              </w:rPr>
            </w:pPr>
            <w:r>
              <w:rPr>
                <w:rFonts w:ascii="Times New Roman" w:hAnsi="Times New Roman"/>
                <w:sz w:val="24"/>
              </w:rPr>
              <w:t xml:space="preserve"> - увеличение количества спасенного населения на 30%;</w:t>
            </w:r>
          </w:p>
          <w:p w14:paraId="8F000000">
            <w:pPr>
              <w:pStyle w:val="Style_5"/>
              <w:widowControl w:val="1"/>
              <w:ind w:firstLine="40" w:left="0"/>
              <w:jc w:val="both"/>
              <w:rPr>
                <w:rFonts w:ascii="Times New Roman" w:hAnsi="Times New Roman"/>
                <w:sz w:val="24"/>
              </w:rPr>
            </w:pPr>
            <w:r>
              <w:rPr>
                <w:rFonts w:ascii="Times New Roman" w:hAnsi="Times New Roman"/>
                <w:sz w:val="24"/>
              </w:rPr>
              <w:t xml:space="preserve">- повышение эффективности системы </w:t>
            </w:r>
            <w:r>
              <w:rPr>
                <w:rFonts w:ascii="Times New Roman" w:hAnsi="Times New Roman"/>
                <w:sz w:val="24"/>
              </w:rPr>
              <w:t>пожарной  безопасности</w:t>
            </w:r>
            <w:r>
              <w:rPr>
                <w:rFonts w:ascii="Times New Roman" w:hAnsi="Times New Roman"/>
                <w:sz w:val="24"/>
              </w:rPr>
              <w:t>;</w:t>
            </w:r>
          </w:p>
          <w:p w14:paraId="90000000">
            <w:pPr>
              <w:pStyle w:val="Style_5"/>
              <w:widowControl w:val="1"/>
              <w:ind w:firstLine="40" w:left="0"/>
              <w:jc w:val="both"/>
              <w:rPr>
                <w:rFonts w:ascii="Times New Roman" w:hAnsi="Times New Roman"/>
                <w:sz w:val="24"/>
              </w:rPr>
            </w:pPr>
            <w:r>
              <w:rPr>
                <w:rFonts w:ascii="Times New Roman" w:hAnsi="Times New Roman"/>
                <w:sz w:val="24"/>
              </w:rPr>
              <w:t>- повышение эффективности системы безопасности</w:t>
            </w:r>
          </w:p>
          <w:p w14:paraId="91000000">
            <w:pPr>
              <w:pStyle w:val="Style_5"/>
              <w:widowControl w:val="1"/>
              <w:ind/>
              <w:jc w:val="both"/>
              <w:rPr>
                <w:rFonts w:ascii="Times New Roman" w:hAnsi="Times New Roman"/>
                <w:sz w:val="24"/>
              </w:rPr>
            </w:pPr>
            <w:r>
              <w:rPr>
                <w:rFonts w:ascii="Times New Roman" w:hAnsi="Times New Roman"/>
                <w:sz w:val="24"/>
              </w:rPr>
              <w:t>людей на водных объектах;</w:t>
            </w:r>
          </w:p>
          <w:p w14:paraId="92000000">
            <w:pPr>
              <w:pStyle w:val="Style_5"/>
              <w:widowControl w:val="1"/>
              <w:ind/>
              <w:jc w:val="both"/>
              <w:rPr>
                <w:rFonts w:ascii="Times New Roman" w:hAnsi="Times New Roman"/>
                <w:sz w:val="24"/>
              </w:rPr>
            </w:pPr>
            <w:r>
              <w:rPr>
                <w:rFonts w:ascii="Times New Roman" w:hAnsi="Times New Roman"/>
                <w:sz w:val="24"/>
              </w:rPr>
              <w:t>- снижение экономического ущерба 35%;</w:t>
            </w:r>
          </w:p>
          <w:p w14:paraId="93000000">
            <w:pPr>
              <w:pStyle w:val="Style_5"/>
              <w:widowControl w:val="1"/>
              <w:ind/>
              <w:rPr>
                <w:rFonts w:ascii="Times New Roman" w:hAnsi="Times New Roman"/>
                <w:sz w:val="24"/>
              </w:rPr>
            </w:pPr>
          </w:p>
        </w:tc>
      </w:tr>
    </w:tbl>
    <w:p w14:paraId="94000000">
      <w:pPr>
        <w:pStyle w:val="Style_6"/>
        <w:keepNext w:val="0"/>
        <w:widowControl w:val="0"/>
        <w:ind w:firstLine="708" w:left="0"/>
        <w:jc w:val="both"/>
        <w:rPr>
          <w:rFonts w:ascii="Times New Roman" w:hAnsi="Times New Roman"/>
          <w:sz w:val="24"/>
        </w:rPr>
      </w:pPr>
    </w:p>
    <w:p w14:paraId="95000000"/>
    <w:p w14:paraId="96000000">
      <w:pPr>
        <w:widowControl w:val="0"/>
        <w:spacing w:after="0" w:line="240" w:lineRule="auto"/>
        <w:ind/>
        <w:jc w:val="center"/>
        <w:outlineLvl w:val="3"/>
        <w:rPr>
          <w:rFonts w:ascii="Times New Roman" w:hAnsi="Times New Roman"/>
          <w:b w:val="1"/>
          <w:sz w:val="24"/>
        </w:rPr>
      </w:pPr>
      <w:r>
        <w:rPr>
          <w:rFonts w:ascii="Times New Roman" w:hAnsi="Times New Roman"/>
          <w:b w:val="1"/>
          <w:sz w:val="24"/>
        </w:rPr>
        <w:t>I</w:t>
      </w:r>
      <w:r>
        <w:rPr>
          <w:rFonts w:ascii="Times New Roman" w:hAnsi="Times New Roman"/>
          <w:b w:val="1"/>
          <w:sz w:val="24"/>
        </w:rPr>
        <w:t xml:space="preserve">. Общая характеристика сферы реализации муниципальной программы </w:t>
      </w:r>
      <w:r>
        <w:rPr>
          <w:rFonts w:ascii="Times New Roman" w:hAnsi="Times New Roman"/>
          <w:b w:val="1"/>
          <w:sz w:val="24"/>
        </w:rPr>
        <w:t>Молотычевского</w:t>
      </w:r>
      <w:r>
        <w:rPr>
          <w:rFonts w:ascii="Times New Roman" w:hAnsi="Times New Roman"/>
          <w:b w:val="1"/>
          <w:sz w:val="24"/>
        </w:rPr>
        <w:t xml:space="preserve"> сельсовета Фатежского района Курской области «Защита населения и территории от чрезвычайных ситуаций, обеспечении пожарной безопасности и безопасности людей на воде на 2014-</w:t>
      </w:r>
      <w:r>
        <w:rPr>
          <w:rFonts w:ascii="Times New Roman" w:hAnsi="Times New Roman"/>
          <w:b w:val="1"/>
          <w:sz w:val="24"/>
        </w:rPr>
        <w:t>2028</w:t>
      </w:r>
      <w:r>
        <w:rPr>
          <w:rFonts w:ascii="Times New Roman" w:hAnsi="Times New Roman"/>
          <w:b w:val="1"/>
          <w:sz w:val="24"/>
        </w:rPr>
        <w:t xml:space="preserve"> годы», основные проблемы в указанной сфере и прогноз ее развития.</w:t>
      </w:r>
    </w:p>
    <w:p w14:paraId="97000000">
      <w:pPr>
        <w:spacing w:after="0"/>
        <w:ind/>
        <w:jc w:val="both"/>
        <w:rPr>
          <w:rFonts w:ascii="Times New Roman" w:hAnsi="Times New Roman"/>
          <w:sz w:val="24"/>
        </w:rPr>
      </w:pPr>
    </w:p>
    <w:p w14:paraId="98000000">
      <w:pPr>
        <w:widowControl w:val="0"/>
        <w:spacing w:after="0" w:line="240" w:lineRule="auto"/>
        <w:ind w:firstLine="709" w:left="0"/>
        <w:jc w:val="both"/>
        <w:outlineLvl w:val="2"/>
        <w:rPr>
          <w:rFonts w:ascii="Times New Roman" w:hAnsi="Times New Roman"/>
          <w:sz w:val="24"/>
        </w:rPr>
      </w:pPr>
      <w:r>
        <w:rPr>
          <w:rFonts w:ascii="Times New Roman" w:hAnsi="Times New Roman"/>
          <w:sz w:val="24"/>
        </w:rPr>
        <w:t>1.1. Общая характеристика сферы реализации Муниципальной программы</w:t>
      </w:r>
    </w:p>
    <w:p w14:paraId="99000000">
      <w:pPr>
        <w:spacing w:after="0" w:line="240" w:lineRule="auto"/>
        <w:ind w:firstLine="709" w:left="0"/>
        <w:jc w:val="both"/>
        <w:rPr>
          <w:rFonts w:ascii="Times New Roman" w:hAnsi="Times New Roman"/>
          <w:sz w:val="24"/>
        </w:rPr>
      </w:pPr>
      <w:r>
        <w:rPr>
          <w:rFonts w:ascii="Times New Roman" w:hAnsi="Times New Roman"/>
          <w:sz w:val="24"/>
        </w:rPr>
        <w:t>В условиях сохранения высокого уровня угрозы техногенного и природного характера, негативных последствий чрезвычайных ситуаций (далее - ЧС) для устойчивого социально-экономического развития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одним из важных элементов обеспечения комплексной безопасности является повышение защиты населения и территории.</w:t>
      </w:r>
    </w:p>
    <w:p w14:paraId="9A000000">
      <w:pPr>
        <w:spacing w:after="0" w:line="240" w:lineRule="auto"/>
        <w:ind w:firstLine="709" w:left="0"/>
        <w:jc w:val="both"/>
        <w:rPr>
          <w:rFonts w:ascii="Times New Roman" w:hAnsi="Times New Roman"/>
          <w:sz w:val="24"/>
        </w:rPr>
      </w:pPr>
      <w:r>
        <w:rPr>
          <w:rFonts w:ascii="Times New Roman" w:hAnsi="Times New Roman"/>
          <w:sz w:val="24"/>
        </w:rPr>
        <w:t xml:space="preserve">На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отсутствуют потенциально опасные объекты.</w:t>
      </w:r>
    </w:p>
    <w:p w14:paraId="9B000000">
      <w:pPr>
        <w:spacing w:after="0" w:line="240" w:lineRule="auto"/>
        <w:ind w:firstLine="709" w:left="0"/>
        <w:jc w:val="both"/>
        <w:rPr>
          <w:rFonts w:ascii="Times New Roman" w:hAnsi="Times New Roman"/>
          <w:sz w:val="24"/>
        </w:rPr>
      </w:pPr>
      <w:r>
        <w:rPr>
          <w:rFonts w:ascii="Times New Roman" w:hAnsi="Times New Roman"/>
          <w:sz w:val="24"/>
        </w:rPr>
        <w:t xml:space="preserve">На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завершена работа по разработке паспорта безопасности. Проведена работа по разработке планов защищенности и паспортов безопасности объектов, расположенных на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и мест с массовым пребыванием людей.</w:t>
      </w:r>
    </w:p>
    <w:p w14:paraId="9C000000">
      <w:pPr>
        <w:spacing w:after="0" w:line="240" w:lineRule="auto"/>
        <w:ind w:firstLine="709" w:left="0"/>
        <w:jc w:val="both"/>
        <w:rPr>
          <w:rFonts w:ascii="Times New Roman" w:hAnsi="Times New Roman"/>
          <w:sz w:val="24"/>
        </w:rPr>
      </w:pPr>
      <w:r>
        <w:rPr>
          <w:rFonts w:ascii="Times New Roman" w:hAnsi="Times New Roman"/>
          <w:sz w:val="24"/>
        </w:rPr>
        <w:t>В муниципальном образовании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завершена работа по разработке документов территориального планирования, что позволит оценить риски чрезвычайных ситуаций природного и техногенного характера, минимизировать их последствия на основе совершенствования системы антикризисного управления, инженерно-технических мероприятий гражданской обороны, предупреждения и ликвидации ЧС, обеспечения пожарной безопасности, безопасности людей на водных объектах и безопасности дорожного движени</w:t>
      </w:r>
      <w:r>
        <w:rPr>
          <w:rFonts w:ascii="Times New Roman" w:hAnsi="Times New Roman"/>
          <w:sz w:val="24"/>
        </w:rPr>
        <w:t>я.</w:t>
      </w:r>
    </w:p>
    <w:p w14:paraId="9D000000">
      <w:pPr>
        <w:spacing w:after="0" w:line="240" w:lineRule="auto"/>
        <w:ind w:firstLine="709" w:left="0"/>
        <w:jc w:val="both"/>
        <w:rPr>
          <w:rFonts w:ascii="Times New Roman" w:hAnsi="Times New Roman"/>
          <w:sz w:val="24"/>
        </w:rPr>
      </w:pPr>
      <w:r>
        <w:rPr>
          <w:rFonts w:ascii="Times New Roman" w:hAnsi="Times New Roman"/>
          <w:sz w:val="24"/>
        </w:rPr>
        <w:t xml:space="preserve">Требуется разработка и принятие программы до </w:t>
      </w:r>
      <w:r>
        <w:rPr>
          <w:rFonts w:ascii="Times New Roman" w:hAnsi="Times New Roman"/>
          <w:sz w:val="24"/>
        </w:rPr>
        <w:t>2028</w:t>
      </w:r>
      <w:r>
        <w:rPr>
          <w:rFonts w:ascii="Times New Roman" w:hAnsi="Times New Roman"/>
          <w:sz w:val="24"/>
        </w:rPr>
        <w:t xml:space="preserve"> года с учетом включения в ее состав таких направлений, как обеспечение техногенной и информационной безопасности населения, их защиты от негативных природных явлений, обеспечение безопасности объектов жилищно-коммунального хозяйства и транспорта, системы мониторинга и прогнозирования ЧС, централизованного оповещения населения, связи, пожарной безопасности, безопасности на водных объектах и безопасности дорожного движения.</w:t>
      </w:r>
    </w:p>
    <w:p w14:paraId="9E000000">
      <w:pPr>
        <w:spacing w:after="0" w:line="240" w:lineRule="auto"/>
        <w:ind w:firstLine="709" w:left="0"/>
        <w:jc w:val="both"/>
        <w:rPr>
          <w:rFonts w:ascii="Times New Roman" w:hAnsi="Times New Roman"/>
          <w:sz w:val="24"/>
        </w:rPr>
      </w:pPr>
      <w:r>
        <w:rPr>
          <w:rFonts w:ascii="Times New Roman" w:hAnsi="Times New Roman"/>
          <w:sz w:val="24"/>
        </w:rPr>
        <w:t xml:space="preserve">На современном этапе важным аспектом является значительное повышение эффективности реагирования на чрезвычайные ситуации любого характера, так как проблемы защиты населения и территорий от чрезвычайных ситуаций приобрели сегодня государственные масштабы, в том числе и на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w:t>
      </w:r>
    </w:p>
    <w:p w14:paraId="9F000000">
      <w:pPr>
        <w:spacing w:after="0" w:line="240" w:lineRule="auto"/>
        <w:ind w:firstLine="709" w:left="0"/>
        <w:jc w:val="both"/>
        <w:rPr>
          <w:rFonts w:ascii="Times New Roman" w:hAnsi="Times New Roman"/>
          <w:sz w:val="24"/>
        </w:rPr>
      </w:pPr>
      <w:r>
        <w:rPr>
          <w:rFonts w:ascii="Times New Roman" w:hAnsi="Times New Roman"/>
          <w:sz w:val="24"/>
        </w:rPr>
        <w:t xml:space="preserve">Проведенный анализ выполнения программных мероприятий позволяет сделать вывод о том, что скоординированные действия территориальных органов федеральных органов исполнительной власти, органов местного самоуправления и организаций в сфере их ответственности и в пределах компетенции позволяют обеспечить базовые условия, необходимые для реализации неотложных мер в обеспечении комплексной безопасности на требуемом уровне. </w:t>
      </w:r>
    </w:p>
    <w:p w14:paraId="A0000000">
      <w:pPr>
        <w:spacing w:after="0" w:line="240" w:lineRule="auto"/>
        <w:ind w:firstLine="709" w:left="0"/>
        <w:jc w:val="both"/>
        <w:rPr>
          <w:rFonts w:ascii="Times New Roman" w:hAnsi="Times New Roman"/>
          <w:sz w:val="24"/>
        </w:rPr>
      </w:pPr>
      <w:r>
        <w:rPr>
          <w:rFonts w:ascii="Times New Roman" w:hAnsi="Times New Roman"/>
          <w:sz w:val="24"/>
        </w:rPr>
        <w:t>В сложившейся ситуации непринятие действенных мер по реализации организационных и практических мероприятий комплексной безопасности, направленных на обеспечение защиты населения, объектов, населенных пунктов, обновление материально-технической базы, может привести к тяжким последствиям.</w:t>
      </w:r>
    </w:p>
    <w:p w14:paraId="A1000000">
      <w:pPr>
        <w:widowControl w:val="0"/>
        <w:spacing w:after="0" w:line="240" w:lineRule="auto"/>
        <w:ind w:firstLine="709" w:left="0"/>
        <w:jc w:val="both"/>
        <w:outlineLvl w:val="2"/>
        <w:rPr>
          <w:rFonts w:ascii="Times New Roman" w:hAnsi="Times New Roman"/>
          <w:sz w:val="24"/>
        </w:rPr>
      </w:pPr>
      <w:r>
        <w:rPr>
          <w:rFonts w:ascii="Times New Roman" w:hAnsi="Times New Roman"/>
          <w:sz w:val="24"/>
        </w:rPr>
        <w:t>1.2. Формулировки основных проблем в сфере реализации Муниципальной программы</w:t>
      </w:r>
    </w:p>
    <w:p w14:paraId="A2000000">
      <w:pPr>
        <w:spacing w:after="0" w:line="240" w:lineRule="auto"/>
        <w:ind w:firstLine="709" w:left="0"/>
        <w:jc w:val="both"/>
        <w:rPr>
          <w:rFonts w:ascii="Times New Roman" w:hAnsi="Times New Roman"/>
          <w:sz w:val="24"/>
        </w:rPr>
      </w:pPr>
      <w:r>
        <w:rPr>
          <w:rFonts w:ascii="Times New Roman" w:hAnsi="Times New Roman"/>
          <w:sz w:val="24"/>
        </w:rPr>
        <w:t>Для сохранения темпов повышения готовности к выполнению работ спасательных формирований, решения проблемы дооснащения ДПД и аварийно-спасательных сил необходимо решить программными методами и с участием всех уровней ТП РСЧС Курской области.</w:t>
      </w:r>
    </w:p>
    <w:p w14:paraId="A3000000">
      <w:pPr>
        <w:spacing w:after="0" w:line="240" w:lineRule="auto"/>
        <w:ind w:firstLine="709" w:left="0"/>
        <w:jc w:val="both"/>
        <w:rPr>
          <w:rFonts w:ascii="Times New Roman" w:hAnsi="Times New Roman"/>
          <w:sz w:val="24"/>
        </w:rPr>
      </w:pPr>
      <w:r>
        <w:rPr>
          <w:rFonts w:ascii="Times New Roman" w:hAnsi="Times New Roman"/>
          <w:sz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 Номенклатура и объемы резервов материальных ресурсов определяются исходя из прогнозируемых угроз чрезвычайных ситуаций. </w:t>
      </w:r>
    </w:p>
    <w:p w14:paraId="A4000000">
      <w:pPr>
        <w:spacing w:after="0" w:line="240" w:lineRule="auto"/>
        <w:ind w:firstLine="709" w:left="0"/>
        <w:jc w:val="both"/>
        <w:rPr>
          <w:rFonts w:ascii="Times New Roman" w:hAnsi="Times New Roman"/>
          <w:sz w:val="24"/>
        </w:rPr>
      </w:pPr>
      <w:r>
        <w:rPr>
          <w:rFonts w:ascii="Times New Roman" w:hAnsi="Times New Roman"/>
          <w:sz w:val="24"/>
        </w:rPr>
        <w:t xml:space="preserve">Исходя из прогнозируемых на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угроз чрезвычайных ситуаций и учитывая то, что территория Фатежского района Курской области является загородной зоной г. Курска этих резервов недостаточно. Соответствующие проблемы обеспечения материальными ресурсами необходимо решать на региональном уровне.</w:t>
      </w:r>
    </w:p>
    <w:p w14:paraId="A5000000">
      <w:pPr>
        <w:spacing w:after="0" w:line="240" w:lineRule="auto"/>
        <w:ind w:firstLine="709" w:left="0"/>
        <w:jc w:val="both"/>
        <w:rPr>
          <w:rFonts w:ascii="Times New Roman" w:hAnsi="Times New Roman"/>
          <w:sz w:val="24"/>
        </w:rPr>
      </w:pPr>
      <w:r>
        <w:rPr>
          <w:rFonts w:ascii="Times New Roman" w:hAnsi="Times New Roman"/>
          <w:sz w:val="24"/>
        </w:rPr>
        <w:t xml:space="preserve">При возникновении чрезвычайной ситуации из опасных зон потребуется эвакуировать население в пункты временного размещения (далее – ПВР) и организовать первоочередное жизнеобеспечение пострадавших. </w:t>
      </w:r>
    </w:p>
    <w:p w14:paraId="A6000000">
      <w:pPr>
        <w:spacing w:after="0" w:line="240" w:lineRule="auto"/>
        <w:ind w:firstLine="709" w:left="0"/>
        <w:jc w:val="both"/>
        <w:rPr>
          <w:rFonts w:ascii="Times New Roman" w:hAnsi="Times New Roman"/>
          <w:sz w:val="24"/>
        </w:rPr>
      </w:pPr>
      <w:r>
        <w:rPr>
          <w:rFonts w:ascii="Times New Roman" w:hAnsi="Times New Roman"/>
          <w:sz w:val="24"/>
        </w:rPr>
        <w:t>В результате планирования эвакуационных мероприятий отделом по делам ГО и ЧС Администрации Фатежского района Курской области установлено, что необходимо принять меры по организации первоочередного жизнеобеспечения населения, пострадавшего в чрезвычайных ситуациях совместно с администрацией Курской области.</w:t>
      </w:r>
    </w:p>
    <w:p w14:paraId="A7000000">
      <w:pPr>
        <w:spacing w:after="0" w:line="240" w:lineRule="auto"/>
        <w:ind w:firstLine="709" w:left="0"/>
        <w:jc w:val="both"/>
        <w:rPr>
          <w:rFonts w:ascii="Times New Roman" w:hAnsi="Times New Roman"/>
          <w:spacing w:val="-4"/>
          <w:sz w:val="24"/>
        </w:rPr>
      </w:pPr>
      <w:r>
        <w:rPr>
          <w:rFonts w:ascii="Times New Roman" w:hAnsi="Times New Roman"/>
          <w:spacing w:val="-4"/>
          <w:sz w:val="24"/>
        </w:rPr>
        <w:t xml:space="preserve">На территории </w:t>
      </w:r>
      <w:r>
        <w:rPr>
          <w:rFonts w:ascii="Times New Roman" w:hAnsi="Times New Roman"/>
          <w:spacing w:val="-4"/>
          <w:sz w:val="24"/>
        </w:rPr>
        <w:t>Молотычевского</w:t>
      </w:r>
      <w:r>
        <w:rPr>
          <w:rFonts w:ascii="Times New Roman" w:hAnsi="Times New Roman"/>
          <w:spacing w:val="-4"/>
          <w:sz w:val="24"/>
        </w:rPr>
        <w:t xml:space="preserve"> сельсовета Фатежского района Курской области создан 1 ПВР. </w:t>
      </w:r>
    </w:p>
    <w:p w14:paraId="A8000000">
      <w:pPr>
        <w:spacing w:after="0" w:line="240" w:lineRule="auto"/>
        <w:ind w:firstLine="709" w:left="0"/>
        <w:jc w:val="both"/>
        <w:rPr>
          <w:rFonts w:ascii="Times New Roman" w:hAnsi="Times New Roman"/>
          <w:sz w:val="24"/>
        </w:rPr>
      </w:pPr>
      <w:r>
        <w:rPr>
          <w:rFonts w:ascii="Times New Roman" w:hAnsi="Times New Roman"/>
          <w:sz w:val="24"/>
        </w:rPr>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14:paraId="A9000000">
      <w:pPr>
        <w:spacing w:after="0" w:line="240" w:lineRule="auto"/>
        <w:ind w:firstLine="709" w:left="0"/>
        <w:jc w:val="both"/>
        <w:rPr>
          <w:rFonts w:ascii="Times New Roman" w:hAnsi="Times New Roman"/>
          <w:sz w:val="24"/>
        </w:rPr>
      </w:pPr>
      <w:r>
        <w:rPr>
          <w:rFonts w:ascii="Times New Roman" w:hAnsi="Times New Roman"/>
          <w:sz w:val="24"/>
        </w:rPr>
        <w:t>в повседневном режиме – для социально полезных целей;</w:t>
      </w:r>
    </w:p>
    <w:p w14:paraId="AA000000">
      <w:pPr>
        <w:spacing w:after="0" w:line="240" w:lineRule="auto"/>
        <w:ind w:firstLine="709" w:left="0"/>
        <w:jc w:val="both"/>
        <w:rPr>
          <w:rFonts w:ascii="Times New Roman" w:hAnsi="Times New Roman"/>
          <w:sz w:val="24"/>
        </w:rPr>
      </w:pPr>
      <w:r>
        <w:rPr>
          <w:rFonts w:ascii="Times New Roman" w:hAnsi="Times New Roman"/>
          <w:spacing w:val="-4"/>
          <w:sz w:val="24"/>
        </w:rPr>
        <w:t>в режиме чрезвычайной ситуации – для первоочередного жизнеобеспечения</w:t>
      </w:r>
      <w:r>
        <w:rPr>
          <w:rFonts w:ascii="Times New Roman" w:hAnsi="Times New Roman"/>
          <w:sz w:val="24"/>
        </w:rPr>
        <w:t xml:space="preserve"> пострадавших. </w:t>
      </w:r>
    </w:p>
    <w:p w14:paraId="AB000000">
      <w:pPr>
        <w:spacing w:after="0" w:line="240" w:lineRule="auto"/>
        <w:ind w:firstLine="709" w:left="0"/>
        <w:jc w:val="both"/>
        <w:rPr>
          <w:rFonts w:ascii="Times New Roman" w:hAnsi="Times New Roman"/>
          <w:sz w:val="24"/>
        </w:rPr>
      </w:pPr>
      <w:r>
        <w:rPr>
          <w:rFonts w:ascii="Times New Roman" w:hAnsi="Times New Roman"/>
          <w:sz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 как на муниципальном, так и на региональном уровнях.</w:t>
      </w:r>
    </w:p>
    <w:p w14:paraId="AC000000">
      <w:pPr>
        <w:widowControl w:val="0"/>
        <w:spacing w:after="0" w:line="240" w:lineRule="auto"/>
        <w:ind w:firstLine="709" w:left="0"/>
        <w:jc w:val="both"/>
        <w:outlineLvl w:val="2"/>
        <w:rPr>
          <w:rFonts w:ascii="Times New Roman" w:hAnsi="Times New Roman"/>
          <w:sz w:val="24"/>
        </w:rPr>
      </w:pPr>
      <w:r>
        <w:rPr>
          <w:rFonts w:ascii="Times New Roman" w:hAnsi="Times New Roman"/>
          <w:sz w:val="24"/>
        </w:rPr>
        <w:t>1.3. Основные тенденции развития сферы реализации Муниципальной программы.</w:t>
      </w:r>
    </w:p>
    <w:p w14:paraId="AD000000">
      <w:pPr>
        <w:spacing w:after="0" w:line="240" w:lineRule="auto"/>
        <w:ind w:firstLine="709" w:left="0"/>
        <w:jc w:val="both"/>
        <w:rPr>
          <w:rFonts w:ascii="Times New Roman" w:hAnsi="Times New Roman"/>
          <w:sz w:val="24"/>
        </w:rPr>
      </w:pPr>
      <w:r>
        <w:rPr>
          <w:rFonts w:ascii="Times New Roman" w:hAnsi="Times New Roman"/>
          <w:sz w:val="24"/>
        </w:rPr>
        <w:t xml:space="preserve">Основные цели Программы: </w:t>
      </w:r>
    </w:p>
    <w:p w14:paraId="AE000000">
      <w:pPr>
        <w:spacing w:after="0" w:line="240" w:lineRule="auto"/>
        <w:ind w:firstLine="709" w:left="0"/>
        <w:jc w:val="both"/>
        <w:rPr>
          <w:rFonts w:ascii="Times New Roman" w:hAnsi="Times New Roman"/>
          <w:sz w:val="24"/>
        </w:rPr>
      </w:pPr>
      <w:r>
        <w:rPr>
          <w:rFonts w:ascii="Times New Roman" w:hAnsi="Times New Roman"/>
          <w:sz w:val="24"/>
        </w:rPr>
        <w:t>совершенствование системы антикризисного управления;</w:t>
      </w:r>
    </w:p>
    <w:p w14:paraId="AF000000">
      <w:pPr>
        <w:tabs>
          <w:tab w:leader="none" w:pos="720" w:val="left"/>
        </w:tabs>
        <w:spacing w:after="0" w:line="240" w:lineRule="auto"/>
        <w:ind w:firstLine="709" w:left="0"/>
        <w:jc w:val="both"/>
        <w:rPr>
          <w:rFonts w:ascii="Times New Roman" w:hAnsi="Times New Roman"/>
          <w:sz w:val="24"/>
        </w:rPr>
      </w:pPr>
      <w:r>
        <w:rPr>
          <w:rFonts w:ascii="Times New Roman" w:hAnsi="Times New Roman"/>
          <w:sz w:val="24"/>
        </w:rPr>
        <w:tab/>
      </w:r>
      <w:r>
        <w:rPr>
          <w:rFonts w:ascii="Times New Roman" w:hAnsi="Times New Roman"/>
          <w:sz w:val="24"/>
        </w:rPr>
        <w:t>совершенствование мероприятий в области гражданской обороны;</w:t>
      </w:r>
    </w:p>
    <w:p w14:paraId="B0000000">
      <w:pPr>
        <w:spacing w:after="0" w:line="240" w:lineRule="auto"/>
        <w:ind w:firstLine="709" w:left="0"/>
        <w:jc w:val="both"/>
        <w:rPr>
          <w:rFonts w:ascii="Times New Roman" w:hAnsi="Times New Roman"/>
          <w:sz w:val="24"/>
        </w:rPr>
      </w:pPr>
      <w:r>
        <w:rPr>
          <w:rFonts w:ascii="Times New Roman" w:hAnsi="Times New Roman"/>
          <w:sz w:val="24"/>
        </w:rPr>
        <w:t>совершенствование мероприятий в области предупреждения и ликвидации чрезвычайных ситуаций;</w:t>
      </w:r>
    </w:p>
    <w:p w14:paraId="B1000000">
      <w:pPr>
        <w:spacing w:after="0" w:line="240" w:lineRule="auto"/>
        <w:ind w:firstLine="709" w:left="0"/>
        <w:jc w:val="both"/>
        <w:rPr>
          <w:rFonts w:ascii="Times New Roman" w:hAnsi="Times New Roman"/>
          <w:sz w:val="24"/>
        </w:rPr>
      </w:pPr>
      <w:r>
        <w:rPr>
          <w:rFonts w:ascii="Times New Roman" w:hAnsi="Times New Roman"/>
          <w:sz w:val="24"/>
        </w:rPr>
        <w:t>проведение предупредительных мероприятий в рамках обеспечения пожарной безопасности;</w:t>
      </w:r>
    </w:p>
    <w:p w14:paraId="B2000000">
      <w:pPr>
        <w:spacing w:after="0" w:line="240" w:lineRule="auto"/>
        <w:ind w:firstLine="709" w:left="0"/>
        <w:jc w:val="both"/>
        <w:rPr>
          <w:rFonts w:ascii="Times New Roman" w:hAnsi="Times New Roman"/>
          <w:sz w:val="24"/>
        </w:rPr>
      </w:pPr>
      <w:r>
        <w:rPr>
          <w:rFonts w:ascii="Times New Roman" w:hAnsi="Times New Roman"/>
          <w:sz w:val="24"/>
        </w:rPr>
        <w:t>уменьшение количества пожаров, снижение рисков возникновения и смягчение последствий чрезвычайных ситуаций;</w:t>
      </w:r>
    </w:p>
    <w:p w14:paraId="B3000000">
      <w:pPr>
        <w:spacing w:after="0" w:line="240" w:lineRule="auto"/>
        <w:ind w:firstLine="709" w:left="0"/>
        <w:jc w:val="both"/>
        <w:rPr>
          <w:rFonts w:ascii="Times New Roman" w:hAnsi="Times New Roman"/>
          <w:sz w:val="24"/>
        </w:rPr>
      </w:pPr>
      <w:r>
        <w:rPr>
          <w:rFonts w:ascii="Times New Roman" w:hAnsi="Times New Roman"/>
          <w:sz w:val="24"/>
        </w:rPr>
        <w:t>снижение числа травмированных и погибших на пожарах;</w:t>
      </w:r>
    </w:p>
    <w:p w14:paraId="B4000000">
      <w:pPr>
        <w:spacing w:after="0" w:line="240" w:lineRule="auto"/>
        <w:ind w:firstLine="709" w:left="0"/>
        <w:jc w:val="both"/>
        <w:rPr>
          <w:rFonts w:ascii="Times New Roman" w:hAnsi="Times New Roman"/>
          <w:sz w:val="24"/>
        </w:rPr>
      </w:pPr>
      <w:r>
        <w:rPr>
          <w:rFonts w:ascii="Times New Roman" w:hAnsi="Times New Roman"/>
          <w:sz w:val="24"/>
        </w:rPr>
        <w:t>сокращение материальных потерь от пожаров;</w:t>
      </w:r>
    </w:p>
    <w:p w14:paraId="B5000000">
      <w:pPr>
        <w:spacing w:after="0" w:line="240" w:lineRule="auto"/>
        <w:ind w:firstLine="709" w:left="0"/>
        <w:jc w:val="both"/>
        <w:rPr>
          <w:rFonts w:ascii="Times New Roman" w:hAnsi="Times New Roman"/>
          <w:sz w:val="24"/>
        </w:rPr>
      </w:pPr>
      <w:r>
        <w:rPr>
          <w:rFonts w:ascii="Times New Roman" w:hAnsi="Times New Roman"/>
          <w:sz w:val="24"/>
        </w:rPr>
        <w:t>создание необходимых условий для обеспечения пожарной безопасности, защиты жизни и здоровья граждан;</w:t>
      </w:r>
    </w:p>
    <w:p w14:paraId="B6000000">
      <w:pPr>
        <w:spacing w:after="0" w:line="240" w:lineRule="auto"/>
        <w:ind w:firstLine="709" w:left="0"/>
        <w:jc w:val="both"/>
        <w:rPr>
          <w:rFonts w:ascii="Times New Roman" w:hAnsi="Times New Roman"/>
          <w:sz w:val="24"/>
        </w:rPr>
      </w:pPr>
      <w:r>
        <w:rPr>
          <w:rFonts w:ascii="Times New Roman" w:hAnsi="Times New Roman"/>
          <w:sz w:val="24"/>
        </w:rPr>
        <w:t>сокращение времени реагирования подразделений пожарной охраны на пожары, спасательных служб – на происшествия и чрезвычайные ситуации;</w:t>
      </w:r>
    </w:p>
    <w:p w14:paraId="B7000000">
      <w:pPr>
        <w:spacing w:after="0" w:line="240" w:lineRule="auto"/>
        <w:ind w:firstLine="709" w:left="0"/>
        <w:jc w:val="both"/>
        <w:rPr>
          <w:rFonts w:ascii="Times New Roman" w:hAnsi="Times New Roman"/>
          <w:spacing w:val="-4"/>
          <w:sz w:val="24"/>
        </w:rPr>
      </w:pPr>
      <w:r>
        <w:rPr>
          <w:rFonts w:ascii="Times New Roman" w:hAnsi="Times New Roman"/>
          <w:spacing w:val="-4"/>
          <w:sz w:val="24"/>
        </w:rPr>
        <w:t>оснащение учреждений социальной сферы системами пожарной автоматики;</w:t>
      </w:r>
    </w:p>
    <w:p w14:paraId="B8000000">
      <w:pPr>
        <w:spacing w:after="0" w:line="240" w:lineRule="auto"/>
        <w:ind w:firstLine="709" w:left="0"/>
        <w:jc w:val="both"/>
        <w:rPr>
          <w:rFonts w:ascii="Times New Roman" w:hAnsi="Times New Roman"/>
          <w:sz w:val="24"/>
        </w:rPr>
      </w:pPr>
      <w:r>
        <w:rPr>
          <w:rFonts w:ascii="Times New Roman" w:hAnsi="Times New Roman"/>
          <w:sz w:val="24"/>
        </w:rPr>
        <w:t>снижение числа погибших в результате своевременной помощи пострадавшим;</w:t>
      </w:r>
    </w:p>
    <w:p w14:paraId="B9000000">
      <w:pPr>
        <w:spacing w:after="0" w:line="240" w:lineRule="auto"/>
        <w:ind w:firstLine="709" w:left="0"/>
        <w:jc w:val="both"/>
        <w:rPr>
          <w:rFonts w:ascii="Times New Roman" w:hAnsi="Times New Roman"/>
          <w:sz w:val="24"/>
        </w:rPr>
      </w:pPr>
      <w:r>
        <w:rPr>
          <w:rFonts w:ascii="Times New Roman" w:hAnsi="Times New Roman"/>
          <w:sz w:val="24"/>
        </w:rPr>
        <w:t>улучшение работы по предупреждению правонарушений на водных объектах;</w:t>
      </w:r>
    </w:p>
    <w:p w14:paraId="BA000000">
      <w:pPr>
        <w:spacing w:after="0" w:line="240" w:lineRule="auto"/>
        <w:ind w:firstLine="709" w:left="0"/>
        <w:jc w:val="both"/>
        <w:rPr>
          <w:rFonts w:ascii="Times New Roman" w:hAnsi="Times New Roman"/>
          <w:sz w:val="24"/>
        </w:rPr>
      </w:pPr>
      <w:r>
        <w:rPr>
          <w:rFonts w:ascii="Times New Roman" w:hAnsi="Times New Roman"/>
          <w:sz w:val="24"/>
        </w:rPr>
        <w:t>улучшение материальной базы учебного процесса по вопросам гражданской обороны и чрезвычайным ситуациям;</w:t>
      </w:r>
    </w:p>
    <w:p w14:paraId="BB000000">
      <w:pPr>
        <w:spacing w:after="0" w:line="240" w:lineRule="auto"/>
        <w:ind w:firstLine="709" w:left="0"/>
        <w:jc w:val="both"/>
        <w:rPr>
          <w:rFonts w:ascii="Times New Roman" w:hAnsi="Times New Roman"/>
          <w:sz w:val="24"/>
        </w:rPr>
      </w:pPr>
      <w:r>
        <w:rPr>
          <w:rFonts w:ascii="Times New Roman" w:hAnsi="Times New Roman"/>
          <w:sz w:val="24"/>
        </w:rPr>
        <w:t>создание резервов (запасов) материальных ресурсов для ликвидации чрезвычайных ситуаций и в особый период;</w:t>
      </w:r>
    </w:p>
    <w:p w14:paraId="BC000000">
      <w:pPr>
        <w:spacing w:after="0" w:line="240" w:lineRule="auto"/>
        <w:ind w:firstLine="709" w:left="0"/>
        <w:jc w:val="both"/>
        <w:rPr>
          <w:rFonts w:ascii="Times New Roman" w:hAnsi="Times New Roman"/>
          <w:sz w:val="24"/>
        </w:rPr>
      </w:pPr>
      <w:r>
        <w:rPr>
          <w:rFonts w:ascii="Times New Roman" w:hAnsi="Times New Roman"/>
          <w:sz w:val="24"/>
        </w:rPr>
        <w:t>повышение подготовленности к жизнеобеспечению населения, пострадавшего в чрезвычайных ситуациях;</w:t>
      </w:r>
    </w:p>
    <w:p w14:paraId="BD000000">
      <w:pPr>
        <w:spacing w:after="0" w:line="240" w:lineRule="auto"/>
        <w:ind w:firstLine="709" w:left="0"/>
        <w:jc w:val="both"/>
        <w:rPr>
          <w:rFonts w:ascii="Times New Roman" w:hAnsi="Times New Roman"/>
          <w:sz w:val="24"/>
        </w:rPr>
      </w:pPr>
      <w:r>
        <w:rPr>
          <w:rFonts w:ascii="Times New Roman" w:hAnsi="Times New Roman"/>
          <w:sz w:val="24"/>
        </w:rPr>
        <w:t>организация системы мониторинга и прогнозирования ЧС, централизованного оповещения населения, связи, пожарной безопасности, безопасности на водных объектах и безопасности дорожного движения; повышение эффективности реагирования на чрезвычайные ситуации любого характера;</w:t>
      </w:r>
    </w:p>
    <w:p w14:paraId="BE000000">
      <w:pPr>
        <w:spacing w:after="0" w:line="240" w:lineRule="auto"/>
        <w:ind w:firstLine="709" w:left="0"/>
        <w:jc w:val="both"/>
        <w:rPr>
          <w:rFonts w:ascii="Times New Roman" w:hAnsi="Times New Roman"/>
          <w:sz w:val="24"/>
        </w:rPr>
      </w:pPr>
      <w:r>
        <w:rPr>
          <w:rFonts w:ascii="Times New Roman" w:hAnsi="Times New Roman"/>
          <w:sz w:val="24"/>
        </w:rPr>
        <w:t>организация на муниципальном уровне выполнения мероприятий по защите населения при опасностях, возникающих при ведении военных действий или вследствие этих действий, при угрозе возникновения или возникновении чрезвычайных ситуаций на территории Фатежского района Курской области; организация выдач СИЗ населению Фатежского района Курской области в установленном порядке.</w:t>
      </w:r>
    </w:p>
    <w:p w14:paraId="BF000000">
      <w:pPr>
        <w:spacing w:after="0" w:line="240" w:lineRule="auto"/>
        <w:ind w:firstLine="709" w:left="0"/>
        <w:jc w:val="both"/>
        <w:rPr>
          <w:rFonts w:ascii="Times New Roman" w:hAnsi="Times New Roman"/>
          <w:sz w:val="24"/>
        </w:rPr>
      </w:pPr>
      <w:r>
        <w:rPr>
          <w:rFonts w:ascii="Times New Roman" w:hAnsi="Times New Roman"/>
          <w:sz w:val="24"/>
        </w:rPr>
        <w:t>Основные задачи Программы:</w:t>
      </w:r>
    </w:p>
    <w:p w14:paraId="C0000000">
      <w:pPr>
        <w:spacing w:after="0" w:line="240" w:lineRule="auto"/>
        <w:ind w:firstLine="709" w:left="0"/>
        <w:jc w:val="both"/>
        <w:rPr>
          <w:rFonts w:ascii="Times New Roman" w:hAnsi="Times New Roman"/>
          <w:sz w:val="24"/>
        </w:rPr>
      </w:pPr>
      <w:r>
        <w:rPr>
          <w:rFonts w:ascii="Times New Roman" w:hAnsi="Times New Roman"/>
          <w:sz w:val="24"/>
        </w:rPr>
        <w:t>развитие инфраструктуры пожарной охраны, создание системы ее оснащения и оптимизации управления;</w:t>
      </w:r>
    </w:p>
    <w:p w14:paraId="C1000000">
      <w:pPr>
        <w:spacing w:after="0" w:line="240" w:lineRule="auto"/>
        <w:ind w:firstLine="709" w:left="0"/>
        <w:jc w:val="both"/>
        <w:rPr>
          <w:rFonts w:ascii="Times New Roman" w:hAnsi="Times New Roman"/>
          <w:sz w:val="24"/>
        </w:rPr>
      </w:pPr>
      <w:r>
        <w:rPr>
          <w:rFonts w:ascii="Times New Roman" w:hAnsi="Times New Roman"/>
          <w:sz w:val="24"/>
        </w:rPr>
        <w:t>обеспечение противопожарным оборудованием и совершенствование противопожарной защиты объектов социальной сферы;</w:t>
      </w:r>
    </w:p>
    <w:p w14:paraId="C2000000">
      <w:pPr>
        <w:spacing w:after="0" w:line="240" w:lineRule="auto"/>
        <w:ind w:firstLine="709" w:left="0"/>
        <w:jc w:val="both"/>
        <w:rPr>
          <w:rFonts w:ascii="Times New Roman" w:hAnsi="Times New Roman"/>
          <w:sz w:val="24"/>
        </w:rPr>
      </w:pPr>
      <w:r>
        <w:rPr>
          <w:rFonts w:ascii="Times New Roman" w:hAnsi="Times New Roman"/>
          <w:sz w:val="24"/>
        </w:rPr>
        <w:t>разработка и реализация мероприятий, направленных на соблюдение правил пожарной безопасности населением и работниками учреждений социальной сферы;</w:t>
      </w:r>
    </w:p>
    <w:p w14:paraId="C3000000">
      <w:pPr>
        <w:spacing w:after="0" w:line="240" w:lineRule="auto"/>
        <w:ind w:firstLine="709" w:left="0"/>
        <w:jc w:val="both"/>
        <w:rPr>
          <w:rFonts w:ascii="Times New Roman" w:hAnsi="Times New Roman"/>
          <w:sz w:val="24"/>
        </w:rPr>
      </w:pPr>
      <w:r>
        <w:rPr>
          <w:rFonts w:ascii="Times New Roman" w:hAnsi="Times New Roman"/>
          <w:sz w:val="24"/>
        </w:rPr>
        <w:t>повышение объема знаний и навыков в области пожарной безопасности руководителей, должностных лиц и специалистов, педагогов, воспитателей, а также выпускников образовательных учреждений;</w:t>
      </w:r>
    </w:p>
    <w:p w14:paraId="C4000000">
      <w:pPr>
        <w:spacing w:after="0" w:line="240" w:lineRule="auto"/>
        <w:ind w:firstLine="709" w:left="0"/>
        <w:jc w:val="both"/>
        <w:rPr>
          <w:rFonts w:ascii="Times New Roman" w:hAnsi="Times New Roman"/>
          <w:sz w:val="24"/>
        </w:rPr>
      </w:pPr>
      <w:r>
        <w:rPr>
          <w:rFonts w:ascii="Times New Roman" w:hAnsi="Times New Roman"/>
          <w:sz w:val="24"/>
        </w:rPr>
        <w:t>приобретение современных средств спасения людей при пожарах в учреждениях социальной сферы;</w:t>
      </w:r>
    </w:p>
    <w:p w14:paraId="C5000000">
      <w:pPr>
        <w:spacing w:after="0" w:line="240" w:lineRule="auto"/>
        <w:ind w:firstLine="709" w:left="0"/>
        <w:jc w:val="both"/>
        <w:rPr>
          <w:rFonts w:ascii="Times New Roman" w:hAnsi="Times New Roman"/>
          <w:sz w:val="24"/>
        </w:rPr>
      </w:pPr>
      <w:r>
        <w:rPr>
          <w:rFonts w:ascii="Times New Roman" w:hAnsi="Times New Roman"/>
          <w:sz w:val="24"/>
        </w:rPr>
        <w:t>организация работы по предупреждению и пресечению нарушений требований пожарной безопасности и правил поведения на воде;</w:t>
      </w:r>
    </w:p>
    <w:p w14:paraId="C6000000">
      <w:pPr>
        <w:spacing w:after="0" w:line="240" w:lineRule="auto"/>
        <w:ind w:firstLine="709" w:left="0"/>
        <w:jc w:val="both"/>
        <w:rPr>
          <w:rFonts w:ascii="Times New Roman" w:hAnsi="Times New Roman"/>
          <w:sz w:val="24"/>
        </w:rPr>
      </w:pPr>
      <w:r>
        <w:rPr>
          <w:rFonts w:ascii="Times New Roman" w:hAnsi="Times New Roman"/>
          <w:sz w:val="24"/>
        </w:rPr>
        <w:t>повышение квалификации и обучение личного состава ДПК и ДПД;</w:t>
      </w:r>
    </w:p>
    <w:p w14:paraId="C7000000">
      <w:pPr>
        <w:spacing w:after="0" w:line="240" w:lineRule="auto"/>
        <w:ind w:firstLine="709" w:left="0"/>
        <w:jc w:val="both"/>
        <w:rPr>
          <w:rFonts w:ascii="Times New Roman" w:hAnsi="Times New Roman"/>
          <w:sz w:val="24"/>
        </w:rPr>
      </w:pPr>
      <w:r>
        <w:rPr>
          <w:rFonts w:ascii="Times New Roman" w:hAnsi="Times New Roman"/>
          <w:sz w:val="24"/>
        </w:rPr>
        <w:t>улучшение материально-технической базы;</w:t>
      </w:r>
    </w:p>
    <w:p w14:paraId="C8000000">
      <w:pPr>
        <w:spacing w:after="0" w:line="240" w:lineRule="auto"/>
        <w:ind w:firstLine="709" w:left="0"/>
        <w:jc w:val="both"/>
        <w:rPr>
          <w:rFonts w:ascii="Times New Roman" w:hAnsi="Times New Roman"/>
          <w:sz w:val="24"/>
        </w:rPr>
      </w:pPr>
      <w:r>
        <w:rPr>
          <w:rFonts w:ascii="Times New Roman" w:hAnsi="Times New Roman"/>
          <w:sz w:val="24"/>
        </w:rPr>
        <w:t xml:space="preserve">информирование населения о правилах поведения </w:t>
      </w:r>
      <w:r>
        <w:rPr>
          <w:rFonts w:ascii="Times New Roman" w:hAnsi="Times New Roman"/>
          <w:sz w:val="24"/>
        </w:rPr>
        <w:t>и действиях в чрезвычайных ситуациях;</w:t>
      </w:r>
    </w:p>
    <w:p w14:paraId="C9000000">
      <w:pPr>
        <w:spacing w:after="0" w:line="240" w:lineRule="auto"/>
        <w:ind w:firstLine="709" w:left="0"/>
        <w:jc w:val="both"/>
        <w:rPr>
          <w:rFonts w:ascii="Times New Roman" w:hAnsi="Times New Roman"/>
          <w:sz w:val="24"/>
        </w:rPr>
      </w:pPr>
      <w:r>
        <w:rPr>
          <w:rFonts w:ascii="Times New Roman" w:hAnsi="Times New Roman"/>
          <w:sz w:val="24"/>
        </w:rPr>
        <w:t>создание материальных резервов для ликвидации чрезвычайных ситуаций;</w:t>
      </w:r>
    </w:p>
    <w:p w14:paraId="CA000000">
      <w:pPr>
        <w:spacing w:after="0" w:line="240" w:lineRule="auto"/>
        <w:ind w:firstLine="709" w:left="0"/>
        <w:jc w:val="both"/>
        <w:rPr>
          <w:rFonts w:ascii="Times New Roman" w:hAnsi="Times New Roman"/>
          <w:sz w:val="24"/>
        </w:rPr>
      </w:pPr>
      <w:r>
        <w:rPr>
          <w:rFonts w:ascii="Times New Roman" w:hAnsi="Times New Roman"/>
          <w:sz w:val="24"/>
        </w:rPr>
        <w:t>восполнение по истечении срока хранения индивидуальных средств защиты;</w:t>
      </w:r>
    </w:p>
    <w:p w14:paraId="CB000000">
      <w:pPr>
        <w:spacing w:after="0" w:line="240" w:lineRule="auto"/>
        <w:ind w:firstLine="709" w:left="0"/>
        <w:jc w:val="both"/>
        <w:rPr>
          <w:rFonts w:ascii="Times New Roman" w:hAnsi="Times New Roman"/>
          <w:sz w:val="24"/>
        </w:rPr>
      </w:pPr>
      <w:r>
        <w:rPr>
          <w:rFonts w:ascii="Times New Roman" w:hAnsi="Times New Roman"/>
          <w:sz w:val="24"/>
        </w:rPr>
        <w:t>дооборудование объектов социальной сферы для подготовки к приему и размещению населения, пострадавшего в чрезвычайных ситуациях.</w:t>
      </w:r>
    </w:p>
    <w:p w14:paraId="CC000000">
      <w:pPr>
        <w:spacing w:after="0" w:line="240" w:lineRule="auto"/>
        <w:ind w:firstLine="709" w:left="0"/>
        <w:jc w:val="both"/>
        <w:rPr>
          <w:rFonts w:ascii="Times New Roman" w:hAnsi="Times New Roman"/>
          <w:sz w:val="24"/>
        </w:rPr>
      </w:pPr>
      <w:r>
        <w:rPr>
          <w:rFonts w:ascii="Times New Roman" w:hAnsi="Times New Roman"/>
          <w:sz w:val="24"/>
        </w:rPr>
        <w:t xml:space="preserve">Для достижения поставленных основных целей и задач Программы необходимо реализовать мероприятия Программы в период 2014 – </w:t>
      </w:r>
      <w:r>
        <w:rPr>
          <w:rFonts w:ascii="Times New Roman" w:hAnsi="Times New Roman"/>
          <w:sz w:val="24"/>
        </w:rPr>
        <w:t>2028</w:t>
      </w:r>
      <w:r>
        <w:rPr>
          <w:rFonts w:ascii="Times New Roman" w:hAnsi="Times New Roman"/>
          <w:sz w:val="24"/>
        </w:rPr>
        <w:t xml:space="preserve"> годов. При этом ряд мероприятий будет осуществляться в течение всего периода.</w:t>
      </w:r>
    </w:p>
    <w:p w14:paraId="CD000000">
      <w:pPr>
        <w:spacing w:after="0" w:line="240" w:lineRule="auto"/>
        <w:ind/>
        <w:jc w:val="both"/>
        <w:rPr>
          <w:rFonts w:ascii="Times New Roman" w:hAnsi="Times New Roman"/>
          <w:sz w:val="24"/>
        </w:rPr>
      </w:pPr>
    </w:p>
    <w:p w14:paraId="CE000000">
      <w:pPr>
        <w:widowControl w:val="0"/>
        <w:spacing w:after="0"/>
        <w:ind/>
        <w:jc w:val="center"/>
        <w:outlineLvl w:val="1"/>
        <w:rPr>
          <w:rFonts w:ascii="Times New Roman" w:hAnsi="Times New Roman"/>
          <w:b w:val="1"/>
          <w:sz w:val="24"/>
        </w:rPr>
      </w:pPr>
      <w:r>
        <w:rPr>
          <w:rFonts w:ascii="Times New Roman" w:hAnsi="Times New Roman"/>
          <w:b w:val="1"/>
          <w:sz w:val="24"/>
        </w:rPr>
        <w:t>II.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14:paraId="CF000000">
      <w:pPr>
        <w:spacing w:after="0"/>
        <w:ind/>
        <w:jc w:val="both"/>
        <w:rPr>
          <w:rFonts w:ascii="Times New Roman" w:hAnsi="Times New Roman"/>
          <w:sz w:val="24"/>
        </w:rPr>
      </w:pPr>
    </w:p>
    <w:p w14:paraId="D0000000">
      <w:pPr>
        <w:spacing w:after="0"/>
        <w:ind w:firstLine="709" w:left="0"/>
        <w:jc w:val="both"/>
        <w:rPr>
          <w:rFonts w:ascii="Times New Roman" w:hAnsi="Times New Roman"/>
          <w:sz w:val="24"/>
        </w:rPr>
      </w:pPr>
      <w:r>
        <w:rPr>
          <w:rFonts w:ascii="Times New Roman" w:hAnsi="Times New Roman"/>
          <w:sz w:val="24"/>
        </w:rPr>
        <w:t>Система программных мероприятий приведена в приложении №2 к Программе.</w:t>
      </w:r>
    </w:p>
    <w:p w14:paraId="D1000000">
      <w:pPr>
        <w:spacing w:after="0"/>
        <w:ind w:firstLine="709" w:left="0"/>
        <w:jc w:val="both"/>
        <w:rPr>
          <w:rFonts w:ascii="Times New Roman" w:hAnsi="Times New Roman"/>
          <w:sz w:val="24"/>
        </w:rPr>
      </w:pPr>
      <w:r>
        <w:rPr>
          <w:rFonts w:ascii="Times New Roman" w:hAnsi="Times New Roman"/>
          <w:sz w:val="24"/>
        </w:rPr>
        <w:t>В Программу включены:</w:t>
      </w:r>
    </w:p>
    <w:p w14:paraId="D2000000">
      <w:pPr>
        <w:spacing w:after="0"/>
        <w:ind w:firstLine="709" w:left="0"/>
        <w:jc w:val="both"/>
        <w:rPr>
          <w:rFonts w:ascii="Times New Roman" w:hAnsi="Times New Roman"/>
          <w:sz w:val="24"/>
        </w:rPr>
      </w:pPr>
      <w:r>
        <w:rPr>
          <w:rFonts w:ascii="Times New Roman" w:hAnsi="Times New Roman"/>
          <w:sz w:val="24"/>
        </w:rPr>
        <w:t>мероприятия по защите населения и территорий от чрезвычайных ситуаций;</w:t>
      </w:r>
    </w:p>
    <w:p w14:paraId="D3000000">
      <w:pPr>
        <w:spacing w:after="0"/>
        <w:ind w:firstLine="709" w:left="0"/>
        <w:jc w:val="both"/>
        <w:rPr>
          <w:rFonts w:ascii="Times New Roman" w:hAnsi="Times New Roman"/>
          <w:sz w:val="24"/>
        </w:rPr>
      </w:pPr>
      <w:r>
        <w:rPr>
          <w:rFonts w:ascii="Times New Roman" w:hAnsi="Times New Roman"/>
          <w:sz w:val="24"/>
        </w:rPr>
        <w:t>мероприятия по пожарной безопасности;</w:t>
      </w:r>
    </w:p>
    <w:p w14:paraId="D4000000">
      <w:pPr>
        <w:spacing w:after="0"/>
        <w:ind w:firstLine="709" w:left="0"/>
        <w:jc w:val="both"/>
        <w:rPr>
          <w:rFonts w:ascii="Times New Roman" w:hAnsi="Times New Roman"/>
          <w:sz w:val="24"/>
        </w:rPr>
      </w:pPr>
      <w:r>
        <w:rPr>
          <w:rFonts w:ascii="Times New Roman" w:hAnsi="Times New Roman"/>
          <w:sz w:val="24"/>
        </w:rPr>
        <w:t>мероприятия по обеспечению безопасности людей на водных объектах;</w:t>
      </w:r>
    </w:p>
    <w:p w14:paraId="D5000000">
      <w:pPr>
        <w:spacing w:after="0"/>
        <w:ind w:firstLine="709" w:left="0"/>
        <w:jc w:val="both"/>
        <w:rPr>
          <w:rFonts w:ascii="Times New Roman" w:hAnsi="Times New Roman"/>
          <w:sz w:val="24"/>
        </w:rPr>
      </w:pPr>
      <w:r>
        <w:rPr>
          <w:rFonts w:ascii="Times New Roman" w:hAnsi="Times New Roman"/>
          <w:sz w:val="24"/>
        </w:rPr>
        <w:t xml:space="preserve">организационные мероприятия. </w:t>
      </w:r>
    </w:p>
    <w:p w14:paraId="D6000000">
      <w:pPr>
        <w:spacing w:after="0"/>
        <w:ind w:firstLine="709" w:left="0"/>
        <w:jc w:val="both"/>
        <w:rPr>
          <w:rFonts w:ascii="Times New Roman" w:hAnsi="Times New Roman"/>
          <w:sz w:val="24"/>
        </w:rPr>
      </w:pPr>
      <w:r>
        <w:rPr>
          <w:rFonts w:ascii="Times New Roman" w:hAnsi="Times New Roman"/>
          <w:sz w:val="24"/>
        </w:rPr>
        <w:t>Бюджетные источники:</w:t>
      </w:r>
    </w:p>
    <w:p w14:paraId="D7000000">
      <w:pPr>
        <w:spacing w:after="0"/>
        <w:ind w:firstLine="709" w:left="0"/>
        <w:jc w:val="both"/>
        <w:rPr>
          <w:rFonts w:ascii="Times New Roman" w:hAnsi="Times New Roman"/>
          <w:sz w:val="24"/>
        </w:rPr>
      </w:pPr>
      <w:r>
        <w:rPr>
          <w:rFonts w:ascii="Times New Roman" w:hAnsi="Times New Roman"/>
          <w:sz w:val="24"/>
        </w:rPr>
        <w:t>местный бюджет – средства, предусмотренные на финансирование мероприятий муниципальных программ по защите населения и территорий от чрезвычайных ситуаций и обеспечения пожарной безопасности и безопасности людей на водных объектах.</w:t>
      </w:r>
    </w:p>
    <w:p w14:paraId="D8000000">
      <w:pPr>
        <w:spacing w:after="0"/>
        <w:ind w:firstLine="709" w:left="0"/>
        <w:jc w:val="both"/>
        <w:rPr>
          <w:rFonts w:ascii="Times New Roman" w:hAnsi="Times New Roman"/>
          <w:sz w:val="24"/>
        </w:rPr>
      </w:pPr>
      <w:r>
        <w:rPr>
          <w:rFonts w:ascii="Times New Roman" w:hAnsi="Times New Roman"/>
          <w:sz w:val="24"/>
        </w:rPr>
        <w:t>В случае, если муниципальное образование претендует на предоставление финансовой поддержки за счет средств фонда софинансирования расходов областного бюджета, принятие муниципальной долгосрочной программы по пожарной безопасности и защите населения и территорий от чрезвычайных ситуаций является обязательным.</w:t>
      </w:r>
    </w:p>
    <w:p w14:paraId="D9000000">
      <w:pPr>
        <w:spacing w:after="0"/>
        <w:ind w:firstLine="709" w:left="0"/>
        <w:jc w:val="both"/>
        <w:rPr>
          <w:rFonts w:ascii="Times New Roman" w:hAnsi="Times New Roman"/>
          <w:sz w:val="24"/>
        </w:rPr>
      </w:pPr>
      <w:r>
        <w:rPr>
          <w:rFonts w:ascii="Times New Roman" w:hAnsi="Times New Roman"/>
          <w:sz w:val="24"/>
        </w:rPr>
        <w:t xml:space="preserve">Распределение субсидий (межбюджетных трансфертов) из областного бюджета бюджетам муниципальных образований за счет средств фонда софинансирования расходов на реализацию муниципальных долгосрочных программ по пожарной безопасности и защите населения и территорий от чрезвычайных ситуаций указывается в Программе, предлагаемой к финансированию начиная с очередного финансового года. </w:t>
      </w:r>
    </w:p>
    <w:p w14:paraId="DA000000">
      <w:pPr>
        <w:spacing w:after="0" w:line="240" w:lineRule="auto"/>
        <w:ind w:firstLine="709" w:left="0"/>
        <w:jc w:val="both"/>
        <w:rPr>
          <w:rFonts w:ascii="Times New Roman" w:hAnsi="Times New Roman"/>
          <w:sz w:val="24"/>
        </w:rPr>
      </w:pPr>
      <w:r>
        <w:rPr>
          <w:rFonts w:ascii="Times New Roman" w:hAnsi="Times New Roman"/>
          <w:sz w:val="24"/>
        </w:rPr>
        <w:t>Целевыми индикаторами и показателями Программы, характеризующими эффективность реализации программных мероприятий, (Приложение№1) являются:</w:t>
      </w:r>
    </w:p>
    <w:p w14:paraId="DB000000">
      <w:pPr>
        <w:spacing w:after="0" w:line="240" w:lineRule="auto"/>
        <w:ind w:firstLine="709" w:left="0"/>
        <w:jc w:val="both"/>
        <w:rPr>
          <w:rFonts w:ascii="Times New Roman" w:hAnsi="Times New Roman"/>
          <w:sz w:val="24"/>
        </w:rPr>
      </w:pPr>
      <w:r>
        <w:rPr>
          <w:rFonts w:ascii="Times New Roman" w:hAnsi="Times New Roman"/>
          <w:sz w:val="24"/>
        </w:rPr>
        <w:t>уменьшение среднего времени реагирования оперативных служб при происшествии;</w:t>
      </w:r>
    </w:p>
    <w:p w14:paraId="DC000000">
      <w:pPr>
        <w:spacing w:after="0" w:line="240" w:lineRule="auto"/>
        <w:ind w:firstLine="709" w:left="0"/>
        <w:jc w:val="both"/>
        <w:rPr>
          <w:rFonts w:ascii="Times New Roman" w:hAnsi="Times New Roman"/>
          <w:sz w:val="24"/>
        </w:rPr>
      </w:pPr>
      <w:r>
        <w:rPr>
          <w:rFonts w:ascii="Times New Roman" w:hAnsi="Times New Roman"/>
          <w:sz w:val="24"/>
        </w:rPr>
        <w:t>повышение качества подготовки безопасных районов к размещению эвакуируемого населения, его жизнеобеспечения, размещения материальных и культурных ценностей;</w:t>
      </w:r>
    </w:p>
    <w:p w14:paraId="DD000000">
      <w:pPr>
        <w:spacing w:after="0" w:line="240" w:lineRule="auto"/>
        <w:ind w:firstLine="709" w:left="0"/>
        <w:jc w:val="both"/>
        <w:rPr>
          <w:rFonts w:ascii="Times New Roman" w:hAnsi="Times New Roman"/>
          <w:sz w:val="24"/>
        </w:rPr>
      </w:pPr>
      <w:r>
        <w:rPr>
          <w:rFonts w:ascii="Times New Roman" w:hAnsi="Times New Roman"/>
          <w:sz w:val="24"/>
        </w:rPr>
        <w:t>снижение количества гибели людей;</w:t>
      </w:r>
    </w:p>
    <w:p w14:paraId="DE000000">
      <w:pPr>
        <w:spacing w:after="0" w:line="240" w:lineRule="auto"/>
        <w:ind w:firstLine="709" w:left="0"/>
        <w:jc w:val="both"/>
        <w:rPr>
          <w:rFonts w:ascii="Times New Roman" w:hAnsi="Times New Roman"/>
          <w:sz w:val="24"/>
        </w:rPr>
      </w:pPr>
      <w:r>
        <w:rPr>
          <w:rFonts w:ascii="Times New Roman" w:hAnsi="Times New Roman"/>
          <w:sz w:val="24"/>
        </w:rPr>
        <w:t>снижение количества пострадавшего населения;</w:t>
      </w:r>
    </w:p>
    <w:p w14:paraId="DF000000">
      <w:pPr>
        <w:spacing w:after="0" w:line="240" w:lineRule="auto"/>
        <w:ind w:firstLine="709" w:left="0"/>
        <w:jc w:val="both"/>
        <w:rPr>
          <w:rFonts w:ascii="Times New Roman" w:hAnsi="Times New Roman"/>
          <w:sz w:val="24"/>
        </w:rPr>
      </w:pPr>
      <w:r>
        <w:rPr>
          <w:rFonts w:ascii="Times New Roman" w:hAnsi="Times New Roman"/>
          <w:sz w:val="24"/>
        </w:rPr>
        <w:t>увеличение количества спасенного населения;</w:t>
      </w:r>
    </w:p>
    <w:p w14:paraId="E0000000">
      <w:pPr>
        <w:spacing w:after="0" w:line="240" w:lineRule="auto"/>
        <w:ind w:firstLine="709" w:left="0"/>
        <w:jc w:val="both"/>
        <w:rPr>
          <w:rFonts w:ascii="Times New Roman" w:hAnsi="Times New Roman"/>
          <w:sz w:val="24"/>
        </w:rPr>
      </w:pPr>
      <w:r>
        <w:rPr>
          <w:rFonts w:ascii="Times New Roman" w:hAnsi="Times New Roman"/>
          <w:sz w:val="24"/>
        </w:rPr>
        <w:t>повышение эффективности системы пожарной безопасности;</w:t>
      </w:r>
    </w:p>
    <w:p w14:paraId="E1000000">
      <w:pPr>
        <w:spacing w:after="0" w:line="240" w:lineRule="auto"/>
        <w:ind w:firstLine="709" w:left="0"/>
        <w:jc w:val="both"/>
        <w:rPr>
          <w:rFonts w:ascii="Times New Roman" w:hAnsi="Times New Roman"/>
          <w:sz w:val="24"/>
        </w:rPr>
      </w:pPr>
      <w:r>
        <w:rPr>
          <w:rFonts w:ascii="Times New Roman" w:hAnsi="Times New Roman"/>
          <w:sz w:val="24"/>
        </w:rPr>
        <w:t>повышение эффективности системы безопасности людей на водных объектах;</w:t>
      </w:r>
    </w:p>
    <w:p w14:paraId="E2000000">
      <w:pPr>
        <w:spacing w:after="0" w:line="240" w:lineRule="auto"/>
        <w:ind w:firstLine="709" w:left="0"/>
        <w:jc w:val="both"/>
        <w:rPr>
          <w:rFonts w:ascii="Times New Roman" w:hAnsi="Times New Roman"/>
          <w:sz w:val="24"/>
        </w:rPr>
      </w:pPr>
      <w:r>
        <w:rPr>
          <w:rFonts w:ascii="Times New Roman" w:hAnsi="Times New Roman"/>
          <w:sz w:val="24"/>
        </w:rPr>
        <w:t>организация системы мониторинга и прогнозирования ЧС, централизованного оповещения населения, связи, пожарной безопасности, безопасности на водных объектах и безопасности дорожного движения; повышение эффективности реагирования на чрезвычайные ситуации любого характера;</w:t>
      </w:r>
    </w:p>
    <w:p w14:paraId="E3000000">
      <w:pPr>
        <w:spacing w:after="0" w:line="240" w:lineRule="auto"/>
        <w:ind w:firstLine="709" w:left="0"/>
        <w:jc w:val="both"/>
        <w:rPr>
          <w:rFonts w:ascii="Times New Roman" w:hAnsi="Times New Roman"/>
          <w:sz w:val="24"/>
        </w:rPr>
      </w:pPr>
      <w:r>
        <w:rPr>
          <w:rFonts w:ascii="Times New Roman" w:hAnsi="Times New Roman"/>
          <w:sz w:val="24"/>
        </w:rPr>
        <w:t>организация на муниципальном уровне выполнения мероприятий по защите населения при опасностях, возникающих при ведении военных действий или вследствие этих действий, при угрозе возникновения или возникновении чрезвычайных ситуаций на территории Фатежского района Курской области; организация выдач СИЗ населению Фатежского района Курской области в установленном порядке.</w:t>
      </w:r>
    </w:p>
    <w:p w14:paraId="E4000000">
      <w:pPr>
        <w:spacing w:after="0" w:line="240" w:lineRule="auto"/>
        <w:ind w:firstLine="709" w:left="0"/>
        <w:jc w:val="both"/>
        <w:rPr>
          <w:rFonts w:ascii="Times New Roman" w:hAnsi="Times New Roman"/>
          <w:sz w:val="24"/>
        </w:rPr>
      </w:pPr>
      <w:r>
        <w:rPr>
          <w:rFonts w:ascii="Times New Roman" w:hAnsi="Times New Roman"/>
          <w:sz w:val="24"/>
        </w:rPr>
        <w:t>снижение экономического ущерба.</w:t>
      </w:r>
    </w:p>
    <w:p w14:paraId="E5000000">
      <w:pPr>
        <w:spacing w:after="0" w:line="240" w:lineRule="auto"/>
        <w:ind/>
        <w:rPr>
          <w:rFonts w:ascii="Times New Roman" w:hAnsi="Times New Roman"/>
          <w:sz w:val="24"/>
        </w:rPr>
      </w:pPr>
    </w:p>
    <w:p w14:paraId="E6000000">
      <w:pPr>
        <w:spacing w:after="0" w:line="240" w:lineRule="auto"/>
        <w:ind/>
        <w:jc w:val="center"/>
        <w:rPr>
          <w:rFonts w:ascii="Times New Roman" w:hAnsi="Times New Roman"/>
          <w:sz w:val="24"/>
        </w:rPr>
      </w:pPr>
      <w:r>
        <w:rPr>
          <w:rFonts w:ascii="Times New Roman" w:hAnsi="Times New Roman"/>
          <w:b w:val="1"/>
          <w:sz w:val="24"/>
        </w:rPr>
        <w:t>III. Обобщенная характеристика основных мероприятий Муниципальной программы, подпрограмм муниципальной программы.</w:t>
      </w:r>
    </w:p>
    <w:p w14:paraId="E7000000">
      <w:pPr>
        <w:spacing w:after="0" w:line="240" w:lineRule="auto"/>
        <w:ind/>
        <w:jc w:val="both"/>
        <w:rPr>
          <w:rFonts w:ascii="Times New Roman" w:hAnsi="Times New Roman"/>
          <w:sz w:val="24"/>
        </w:rPr>
      </w:pPr>
    </w:p>
    <w:p w14:paraId="E8000000">
      <w:pPr>
        <w:spacing w:after="0" w:line="240" w:lineRule="auto"/>
        <w:ind w:firstLine="709" w:left="0"/>
        <w:jc w:val="both"/>
        <w:rPr>
          <w:rFonts w:ascii="Times New Roman" w:hAnsi="Times New Roman"/>
          <w:sz w:val="24"/>
        </w:rPr>
      </w:pPr>
      <w:r>
        <w:rPr>
          <w:rFonts w:ascii="Times New Roman" w:hAnsi="Times New Roman"/>
          <w:sz w:val="24"/>
        </w:rPr>
        <w:t>Программа содержит конкретные мероприятия, направленные на реализацию ее целей и задач, мероприятия увязаны по срокам, ресурсам и исполнителям.</w:t>
      </w:r>
    </w:p>
    <w:p w14:paraId="E9000000">
      <w:pPr>
        <w:spacing w:after="0" w:line="240" w:lineRule="auto"/>
        <w:ind w:firstLine="709" w:left="0"/>
        <w:jc w:val="both"/>
        <w:rPr>
          <w:rFonts w:ascii="Times New Roman" w:hAnsi="Times New Roman"/>
          <w:sz w:val="24"/>
        </w:rPr>
      </w:pPr>
      <w:r>
        <w:rPr>
          <w:rFonts w:ascii="Times New Roman" w:hAnsi="Times New Roman"/>
          <w:sz w:val="24"/>
        </w:rPr>
        <w:t>Реализация мероприятий Программы будет способствовать решению задач, определенных Федеральными законами от 06.10.2003 № 131-ФЗ «Об общих принципах организации местного самоуправления в Российской Федерации», от 21.12.1994 № 68-ФЗ «О защите населения и территорий от чрезвычайных ситуаций природного и техногенного характера», Законом Курской области от 05.07.1997 № 15-ЗКО «О защите населения и территории области от чрезвычайных ситуаций природного и техногенного характера».</w:t>
      </w:r>
    </w:p>
    <w:p w14:paraId="EA000000">
      <w:pPr>
        <w:spacing w:after="0" w:line="240" w:lineRule="auto"/>
        <w:ind w:firstLine="709" w:left="0"/>
        <w:jc w:val="both"/>
        <w:rPr>
          <w:rFonts w:ascii="Times New Roman" w:hAnsi="Times New Roman"/>
          <w:sz w:val="24"/>
        </w:rPr>
      </w:pPr>
      <w:r>
        <w:rPr>
          <w:rFonts w:ascii="Times New Roman" w:hAnsi="Times New Roman"/>
          <w:sz w:val="24"/>
        </w:rPr>
        <w:t>Выполнение мероприятий Программы предусматривается за счет средств бюджета Фатежского района Курской области, бюджетов городского и сельских поселений Фатежского района Курской области, бюджета области.</w:t>
      </w:r>
    </w:p>
    <w:p w14:paraId="EB000000">
      <w:pPr>
        <w:spacing w:after="0" w:line="240" w:lineRule="auto"/>
        <w:ind w:firstLine="709" w:left="0"/>
        <w:jc w:val="both"/>
        <w:rPr>
          <w:rFonts w:ascii="Times New Roman" w:hAnsi="Times New Roman"/>
          <w:sz w:val="24"/>
        </w:rPr>
      </w:pPr>
      <w:r>
        <w:rPr>
          <w:rFonts w:ascii="Times New Roman" w:hAnsi="Times New Roman"/>
          <w:sz w:val="24"/>
        </w:rPr>
        <w:t>Программа предусматривает осуществление мероприятий по следующим основным разделам (Приложение№2):</w:t>
      </w:r>
    </w:p>
    <w:p w14:paraId="EC000000">
      <w:pPr>
        <w:spacing w:after="0" w:line="240" w:lineRule="auto"/>
        <w:ind w:firstLine="709" w:left="0"/>
        <w:jc w:val="both"/>
        <w:rPr>
          <w:rFonts w:ascii="Times New Roman" w:hAnsi="Times New Roman"/>
          <w:sz w:val="24"/>
        </w:rPr>
      </w:pPr>
      <w:r>
        <w:rPr>
          <w:rFonts w:ascii="Times New Roman" w:hAnsi="Times New Roman"/>
          <w:sz w:val="24"/>
        </w:rPr>
        <w:t>1. Мероприятия, проводимые в области антикризисного управления;</w:t>
      </w:r>
    </w:p>
    <w:p w14:paraId="ED000000">
      <w:pPr>
        <w:spacing w:after="0" w:line="240" w:lineRule="auto"/>
        <w:ind w:firstLine="709" w:left="0"/>
        <w:jc w:val="both"/>
        <w:rPr>
          <w:rFonts w:ascii="Times New Roman" w:hAnsi="Times New Roman"/>
          <w:sz w:val="24"/>
        </w:rPr>
      </w:pPr>
      <w:r>
        <w:rPr>
          <w:rFonts w:ascii="Times New Roman" w:hAnsi="Times New Roman"/>
          <w:sz w:val="24"/>
        </w:rPr>
        <w:t>2. Мероприятия, проводимые в области гражданской обороны;</w:t>
      </w:r>
    </w:p>
    <w:p w14:paraId="EE000000">
      <w:pPr>
        <w:spacing w:after="0" w:line="240" w:lineRule="auto"/>
        <w:ind w:firstLine="709" w:left="0"/>
        <w:jc w:val="both"/>
        <w:rPr>
          <w:rFonts w:ascii="Times New Roman" w:hAnsi="Times New Roman"/>
          <w:sz w:val="24"/>
        </w:rPr>
      </w:pPr>
      <w:r>
        <w:rPr>
          <w:rFonts w:ascii="Times New Roman" w:hAnsi="Times New Roman"/>
          <w:sz w:val="24"/>
        </w:rPr>
        <w:t>3. Мероприятия, проводимые в области предупреждения и ликвидации чрезвычайных ситуаций;</w:t>
      </w:r>
    </w:p>
    <w:p w14:paraId="EF000000">
      <w:pPr>
        <w:spacing w:after="0" w:line="240" w:lineRule="auto"/>
        <w:ind w:firstLine="709" w:left="0"/>
        <w:jc w:val="both"/>
        <w:rPr>
          <w:rFonts w:ascii="Times New Roman" w:hAnsi="Times New Roman"/>
          <w:sz w:val="24"/>
        </w:rPr>
      </w:pPr>
      <w:r>
        <w:rPr>
          <w:rFonts w:ascii="Times New Roman" w:hAnsi="Times New Roman"/>
          <w:sz w:val="24"/>
        </w:rPr>
        <w:t>4. Мероприятия, проводимые в области обеспечения пожарной безопасности;</w:t>
      </w:r>
    </w:p>
    <w:p w14:paraId="F0000000">
      <w:pPr>
        <w:spacing w:after="0" w:line="240" w:lineRule="auto"/>
        <w:ind w:firstLine="709" w:left="0"/>
        <w:jc w:val="both"/>
        <w:rPr>
          <w:rFonts w:ascii="Times New Roman" w:hAnsi="Times New Roman"/>
          <w:sz w:val="24"/>
        </w:rPr>
      </w:pPr>
      <w:r>
        <w:rPr>
          <w:rFonts w:ascii="Times New Roman" w:hAnsi="Times New Roman"/>
          <w:sz w:val="24"/>
        </w:rPr>
        <w:t>5. Мероприятия, проводимые в области безопасности людей на водных объектах.</w:t>
      </w:r>
    </w:p>
    <w:p w14:paraId="F1000000">
      <w:pPr>
        <w:spacing w:after="0" w:line="240" w:lineRule="auto"/>
        <w:ind w:firstLine="709" w:left="0"/>
        <w:jc w:val="both"/>
        <w:rPr>
          <w:rFonts w:ascii="Times New Roman" w:hAnsi="Times New Roman"/>
          <w:sz w:val="24"/>
        </w:rPr>
      </w:pPr>
      <w:r>
        <w:rPr>
          <w:rFonts w:ascii="Times New Roman" w:hAnsi="Times New Roman"/>
          <w:sz w:val="24"/>
        </w:rPr>
        <w:t>Перечень мероприятий Программы со сроками их реализации и объемами финансирования приведен в приложении №2 к настоящей Программе.</w:t>
      </w:r>
    </w:p>
    <w:p w14:paraId="F2000000">
      <w:pPr>
        <w:spacing w:after="0" w:line="240" w:lineRule="auto"/>
        <w:ind/>
        <w:jc w:val="center"/>
        <w:outlineLvl w:val="1"/>
        <w:rPr>
          <w:rFonts w:ascii="Times New Roman" w:hAnsi="Times New Roman"/>
          <w:b w:val="1"/>
          <w:sz w:val="24"/>
        </w:rPr>
      </w:pPr>
    </w:p>
    <w:p w14:paraId="F3000000">
      <w:pPr>
        <w:spacing w:after="0" w:line="240" w:lineRule="auto"/>
        <w:ind/>
        <w:jc w:val="center"/>
        <w:outlineLvl w:val="1"/>
        <w:rPr>
          <w:rFonts w:ascii="Times New Roman" w:hAnsi="Times New Roman"/>
          <w:b w:val="1"/>
          <w:sz w:val="24"/>
        </w:rPr>
      </w:pPr>
      <w:r>
        <w:rPr>
          <w:rFonts w:ascii="Times New Roman" w:hAnsi="Times New Roman"/>
          <w:b w:val="1"/>
          <w:sz w:val="24"/>
        </w:rPr>
        <w:t>IV. Обобщенная характеристика мер государственного регулирования.</w:t>
      </w:r>
    </w:p>
    <w:p w14:paraId="F4000000">
      <w:pPr>
        <w:spacing w:after="0" w:line="240" w:lineRule="auto"/>
        <w:ind/>
        <w:jc w:val="center"/>
        <w:outlineLvl w:val="1"/>
        <w:rPr>
          <w:rFonts w:ascii="Times New Roman" w:hAnsi="Times New Roman"/>
          <w:b w:val="1"/>
          <w:sz w:val="24"/>
        </w:rPr>
      </w:pPr>
    </w:p>
    <w:p w14:paraId="F5000000">
      <w:pPr>
        <w:widowControl w:val="0"/>
        <w:spacing w:after="0" w:line="240" w:lineRule="auto"/>
        <w:ind w:firstLine="709" w:left="0"/>
        <w:jc w:val="both"/>
        <w:rPr>
          <w:rFonts w:ascii="Times New Roman" w:hAnsi="Times New Roman"/>
          <w:sz w:val="24"/>
        </w:rPr>
      </w:pPr>
      <w:r>
        <w:rPr>
          <w:rFonts w:ascii="Times New Roman" w:hAnsi="Times New Roman"/>
          <w:sz w:val="24"/>
        </w:rPr>
        <w:t>Меры государственного регулирования в сфере реализации муниципальной программы (налоговые, таможенные, тарифные, кредитные и иные меры государственного регулирования) не применяются.</w:t>
      </w:r>
    </w:p>
    <w:p w14:paraId="F6000000">
      <w:pPr>
        <w:widowControl w:val="0"/>
        <w:spacing w:after="0" w:line="240" w:lineRule="auto"/>
        <w:ind w:firstLine="709" w:left="0"/>
        <w:jc w:val="both"/>
        <w:rPr>
          <w:rFonts w:ascii="Times New Roman" w:hAnsi="Times New Roman"/>
          <w:sz w:val="24"/>
        </w:rPr>
      </w:pPr>
      <w:r>
        <w:rPr>
          <w:rFonts w:ascii="Times New Roman" w:hAnsi="Times New Roman"/>
          <w:sz w:val="24"/>
        </w:rPr>
        <w:t>Меры правового регулирования в рамках реализации программы не предусмотрены.</w:t>
      </w:r>
    </w:p>
    <w:p w14:paraId="F7000000">
      <w:pPr>
        <w:widowControl w:val="0"/>
        <w:spacing w:after="0" w:line="240" w:lineRule="auto"/>
        <w:ind w:firstLine="709" w:left="0"/>
        <w:jc w:val="both"/>
        <w:rPr>
          <w:rFonts w:ascii="Times New Roman" w:hAnsi="Times New Roman"/>
          <w:sz w:val="24"/>
        </w:rPr>
      </w:pPr>
      <w:r>
        <w:rPr>
          <w:rFonts w:ascii="Times New Roman" w:hAnsi="Times New Roman"/>
          <w:sz w:val="24"/>
        </w:rPr>
        <w:t>В случае необходимости в рамках программ будет осуществляться работа по обеспечению своевременной корректировки программы, внесению изменений в законы и иные нормативные правовые акты Курской области в сфере ее реализации.</w:t>
      </w:r>
    </w:p>
    <w:p w14:paraId="F8000000">
      <w:pPr>
        <w:widowControl w:val="0"/>
        <w:spacing w:after="0"/>
        <w:ind/>
        <w:jc w:val="both"/>
        <w:rPr>
          <w:rFonts w:ascii="Times New Roman" w:hAnsi="Times New Roman"/>
          <w:sz w:val="24"/>
        </w:rPr>
      </w:pPr>
    </w:p>
    <w:p w14:paraId="F9000000">
      <w:pPr>
        <w:widowControl w:val="0"/>
        <w:ind/>
        <w:jc w:val="center"/>
        <w:rPr>
          <w:rFonts w:ascii="Times New Roman" w:hAnsi="Times New Roman"/>
          <w:b w:val="1"/>
          <w:sz w:val="24"/>
        </w:rPr>
      </w:pPr>
      <w:r>
        <w:rPr>
          <w:rFonts w:ascii="Times New Roman" w:hAnsi="Times New Roman"/>
          <w:b w:val="1"/>
          <w:sz w:val="24"/>
        </w:rPr>
        <w:t>V. Прогноз сводных показателей муниципальных заданий по этапам реализации муниципальной программы</w:t>
      </w:r>
    </w:p>
    <w:p w14:paraId="FA000000">
      <w:pPr>
        <w:widowControl w:val="0"/>
        <w:spacing w:after="0"/>
        <w:ind w:firstLine="709" w:left="0"/>
        <w:jc w:val="both"/>
        <w:rPr>
          <w:rFonts w:ascii="Times New Roman" w:hAnsi="Times New Roman"/>
          <w:sz w:val="24"/>
        </w:rPr>
      </w:pPr>
      <w:r>
        <w:rPr>
          <w:rFonts w:ascii="Times New Roman" w:hAnsi="Times New Roman"/>
          <w:sz w:val="24"/>
        </w:rPr>
        <w:t>В рамках реализации программы выполнения муниципальных заданий на оказание муниципальных услуг не предусматривается.</w:t>
      </w:r>
    </w:p>
    <w:p w14:paraId="FB000000">
      <w:pPr>
        <w:widowControl w:val="0"/>
        <w:spacing w:after="0"/>
        <w:ind/>
        <w:jc w:val="both"/>
        <w:outlineLvl w:val="1"/>
        <w:rPr>
          <w:rFonts w:ascii="Times New Roman" w:hAnsi="Times New Roman"/>
          <w:b w:val="1"/>
          <w:sz w:val="24"/>
        </w:rPr>
      </w:pPr>
    </w:p>
    <w:p w14:paraId="F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VI. Обобщенная характеристика основных мероприятий, реализуемых муниципальным образованием, в реализации Муниципальной программы</w:t>
      </w:r>
    </w:p>
    <w:p w14:paraId="FD000000">
      <w:pPr>
        <w:widowControl w:val="0"/>
        <w:spacing w:after="0" w:line="240" w:lineRule="auto"/>
        <w:ind/>
        <w:jc w:val="center"/>
        <w:outlineLvl w:val="1"/>
        <w:rPr>
          <w:rFonts w:ascii="Times New Roman" w:hAnsi="Times New Roman"/>
          <w:b w:val="1"/>
          <w:sz w:val="24"/>
        </w:rPr>
      </w:pPr>
    </w:p>
    <w:p w14:paraId="FE000000">
      <w:pPr>
        <w:widowControl w:val="0"/>
        <w:spacing w:after="0" w:line="240" w:lineRule="auto"/>
        <w:ind w:firstLine="709" w:left="0"/>
        <w:jc w:val="both"/>
        <w:rPr>
          <w:rFonts w:ascii="Times New Roman" w:hAnsi="Times New Roman"/>
          <w:sz w:val="24"/>
        </w:rPr>
      </w:pPr>
      <w:r>
        <w:rPr>
          <w:rFonts w:ascii="Times New Roman" w:hAnsi="Times New Roman"/>
          <w:sz w:val="24"/>
        </w:rPr>
        <w:t>Участие муниципального образования «</w:t>
      </w:r>
      <w:r>
        <w:rPr>
          <w:rFonts w:ascii="Times New Roman" w:hAnsi="Times New Roman"/>
          <w:sz w:val="24"/>
        </w:rPr>
        <w:t>Молотычевское</w:t>
      </w:r>
      <w:r>
        <w:rPr>
          <w:rFonts w:ascii="Times New Roman" w:hAnsi="Times New Roman"/>
          <w:sz w:val="24"/>
        </w:rPr>
        <w:t xml:space="preserve"> сельское поселение» Фатежского района Курской области планируется в рамках взаимодействия с территориальными органами районных, областных и федеральных органов исполнительной власти в пределах своих полномочий.</w:t>
      </w:r>
    </w:p>
    <w:p w14:paraId="FF000000">
      <w:pPr>
        <w:widowControl w:val="0"/>
        <w:spacing w:after="0" w:line="240" w:lineRule="auto"/>
        <w:ind w:firstLine="709" w:left="0"/>
        <w:jc w:val="both"/>
        <w:rPr>
          <w:rFonts w:ascii="Times New Roman" w:hAnsi="Times New Roman"/>
          <w:sz w:val="24"/>
        </w:rPr>
      </w:pPr>
      <w:r>
        <w:rPr>
          <w:rFonts w:ascii="Times New Roman" w:hAnsi="Times New Roman"/>
          <w:sz w:val="24"/>
        </w:rPr>
        <w:t>Обеспечение координации и взаимодействия в рамках реализации Муниципальной программы осуществляется с учетом положений нормативных правовых актов Российской Федерации, Курской области и муниципальных нормативных правовых актов Фатежского района Курской области.</w:t>
      </w:r>
    </w:p>
    <w:p w14:paraId="00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Органы местного самоуправления обеспечивают совершенствование правовой регламентации основных организационных и управленческих механизмов и участвуют в реализации мероприятий </w:t>
      </w:r>
      <w:r>
        <w:rPr>
          <w:rFonts w:ascii="Times New Roman" w:hAnsi="Times New Roman"/>
          <w:sz w:val="24"/>
        </w:rPr>
        <w:t>муниципальной программы</w:t>
      </w:r>
      <w:r>
        <w:rPr>
          <w:rFonts w:ascii="Times New Roman" w:hAnsi="Times New Roman"/>
          <w:sz w:val="24"/>
        </w:rPr>
        <w:t xml:space="preserve"> предусмотренных в приложении №2. </w:t>
      </w:r>
    </w:p>
    <w:p w14:paraId="01010000">
      <w:pPr>
        <w:widowControl w:val="0"/>
        <w:spacing w:after="0" w:line="240" w:lineRule="auto"/>
        <w:ind w:firstLine="709" w:left="0"/>
        <w:jc w:val="both"/>
        <w:rPr>
          <w:rFonts w:ascii="Times New Roman" w:hAnsi="Times New Roman"/>
          <w:sz w:val="24"/>
        </w:rPr>
      </w:pPr>
      <w:r>
        <w:rPr>
          <w:rFonts w:ascii="Times New Roman" w:hAnsi="Times New Roman"/>
          <w:sz w:val="24"/>
        </w:rPr>
        <w:t>Мероприятия, реализуемые органами местного самоуправления поселений, в рамках Муниципальной программы, предусмотрены за счет средств консолидированного бюджета Фатежского района Курской области.</w:t>
      </w:r>
    </w:p>
    <w:p w14:paraId="02010000">
      <w:pPr>
        <w:spacing w:after="0" w:line="240" w:lineRule="auto"/>
        <w:ind w:firstLine="709" w:left="0"/>
        <w:jc w:val="both"/>
        <w:rPr>
          <w:rFonts w:ascii="Times New Roman" w:hAnsi="Times New Roman"/>
          <w:sz w:val="24"/>
        </w:rPr>
      </w:pPr>
      <w:r>
        <w:rPr>
          <w:rFonts w:ascii="Times New Roman" w:hAnsi="Times New Roman"/>
          <w:sz w:val="24"/>
        </w:rPr>
        <w:t>В Муниципальную программу включаются мероприятия,</w:t>
      </w:r>
      <w:r>
        <w:rPr>
          <w:rFonts w:ascii="Times New Roman" w:hAnsi="Times New Roman"/>
          <w:spacing w:val="-6"/>
          <w:sz w:val="24"/>
        </w:rPr>
        <w:t xml:space="preserve"> требующие их софинансирования</w:t>
      </w:r>
      <w:r>
        <w:rPr>
          <w:rFonts w:ascii="Times New Roman" w:hAnsi="Times New Roman"/>
          <w:sz w:val="24"/>
        </w:rPr>
        <w:t xml:space="preserve"> из бюджета Фатежского района Курской области. Внесение объектов и объемов софинансирования в Муниципальную программу осуществляется в соответствии с муниципальными нормативными правовыми актами Фатежского района Курской области.</w:t>
      </w:r>
    </w:p>
    <w:p w14:paraId="03010000">
      <w:pPr>
        <w:spacing w:after="0" w:line="240" w:lineRule="auto"/>
        <w:ind/>
        <w:jc w:val="both"/>
        <w:rPr>
          <w:rFonts w:ascii="Times New Roman" w:hAnsi="Times New Roman"/>
          <w:sz w:val="24"/>
        </w:rPr>
      </w:pPr>
    </w:p>
    <w:p w14:paraId="04010000">
      <w:pPr>
        <w:widowControl w:val="0"/>
        <w:ind/>
        <w:jc w:val="center"/>
        <w:outlineLvl w:val="1"/>
        <w:rPr>
          <w:rFonts w:ascii="Times New Roman" w:hAnsi="Times New Roman"/>
          <w:b w:val="1"/>
          <w:sz w:val="24"/>
        </w:rPr>
      </w:pPr>
      <w:r>
        <w:rPr>
          <w:rFonts w:ascii="Times New Roman" w:hAnsi="Times New Roman"/>
          <w:b w:val="1"/>
          <w:sz w:val="24"/>
        </w:rPr>
        <w:t>VII. Информация об участии предприятий и организаций независимо от организационно-правовой формы, а также внебюджетных фондов в реализации муниципальной программы.</w:t>
      </w:r>
    </w:p>
    <w:p w14:paraId="05010000">
      <w:pPr>
        <w:widowControl w:val="0"/>
        <w:spacing w:after="0" w:line="240" w:lineRule="auto"/>
        <w:ind w:firstLine="709" w:left="0"/>
        <w:jc w:val="both"/>
        <w:outlineLvl w:val="1"/>
        <w:rPr>
          <w:rFonts w:ascii="Times New Roman" w:hAnsi="Times New Roman"/>
          <w:sz w:val="24"/>
        </w:rPr>
      </w:pPr>
      <w:r>
        <w:rPr>
          <w:rFonts w:ascii="Times New Roman" w:hAnsi="Times New Roman"/>
          <w:sz w:val="24"/>
        </w:rPr>
        <w:t>Участие предприятий и организаций независимо от организационно-правовой формы, а также внебюджетных фондов в реализации Муниципальной программы, планируется и осуществляется в соответствии с действующим законодательством и в пределах своих полномочий.</w:t>
      </w:r>
    </w:p>
    <w:p w14:paraId="06010000">
      <w:pPr>
        <w:widowControl w:val="0"/>
        <w:spacing w:after="0" w:line="240" w:lineRule="auto"/>
        <w:ind w:firstLine="709" w:left="0"/>
        <w:jc w:val="both"/>
        <w:rPr>
          <w:rFonts w:ascii="Times New Roman" w:hAnsi="Times New Roman"/>
          <w:sz w:val="24"/>
        </w:rPr>
      </w:pPr>
      <w:r>
        <w:rPr>
          <w:rFonts w:ascii="Times New Roman" w:hAnsi="Times New Roman"/>
          <w:sz w:val="24"/>
        </w:rPr>
        <w:t>Обеспечение координации и взаимодействия предприятий и организаций независимо от организационно-правовой формы, а также внебюджетными фондами, в рамках реализации Муниципальной программы осуществляется с учетом положений нормативных правовых актов Российской Федерации, Курской области и муниципальных нормативных правовых актов Фатежского района Курской области.</w:t>
      </w:r>
    </w:p>
    <w:p w14:paraId="07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МКУ «ЕДДС Фатежского района Курской области», участвует в реализации мероприятий </w:t>
      </w:r>
      <w:r>
        <w:rPr>
          <w:rFonts w:ascii="Times New Roman" w:hAnsi="Times New Roman"/>
          <w:sz w:val="24"/>
        </w:rPr>
        <w:t>муниципальной программы</w:t>
      </w:r>
      <w:r>
        <w:rPr>
          <w:rFonts w:ascii="Times New Roman" w:hAnsi="Times New Roman"/>
          <w:sz w:val="24"/>
        </w:rPr>
        <w:t xml:space="preserve"> предусмотренных в приложении №2. </w:t>
      </w:r>
    </w:p>
    <w:p w14:paraId="08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Мероприятия, реализуемые в рамках Муниципальной программы, предусмотрены за счет средств консолидированного бюджета Фатежского района Курской области. Внесение объектов и объемов софинансирования в Муниципальную программу осуществляется в соответствии с муниципальными нормативными правовыми актами Фатежского района </w:t>
      </w:r>
      <w:r>
        <w:rPr>
          <w:rFonts w:ascii="Times New Roman" w:hAnsi="Times New Roman"/>
          <w:sz w:val="24"/>
        </w:rPr>
        <w:t>Курской области.</w:t>
      </w:r>
    </w:p>
    <w:p w14:paraId="09010000">
      <w:pPr>
        <w:widowControl w:val="0"/>
        <w:spacing w:after="0" w:line="240" w:lineRule="auto"/>
        <w:ind/>
        <w:jc w:val="both"/>
        <w:rPr>
          <w:rFonts w:ascii="Times New Roman" w:hAnsi="Times New Roman"/>
          <w:sz w:val="24"/>
        </w:rPr>
      </w:pPr>
    </w:p>
    <w:p w14:paraId="0A010000">
      <w:pPr>
        <w:widowControl w:val="0"/>
        <w:ind/>
        <w:jc w:val="center"/>
        <w:outlineLvl w:val="1"/>
        <w:rPr>
          <w:rFonts w:ascii="Times New Roman" w:hAnsi="Times New Roman"/>
          <w:b w:val="1"/>
          <w:sz w:val="24"/>
        </w:rPr>
      </w:pPr>
      <w:r>
        <w:rPr>
          <w:rFonts w:ascii="Times New Roman" w:hAnsi="Times New Roman"/>
          <w:b w:val="1"/>
          <w:sz w:val="24"/>
        </w:rPr>
        <w:t>VIII. Обоснования выделения подпрограмм и включения в состав муниципальной программы, реализуемых целевых программ (их перечень и паспорта).</w:t>
      </w:r>
    </w:p>
    <w:p w14:paraId="0B010000">
      <w:pPr>
        <w:widowControl w:val="0"/>
        <w:spacing w:after="0"/>
        <w:ind w:firstLine="709" w:left="0"/>
        <w:jc w:val="both"/>
        <w:outlineLvl w:val="1"/>
        <w:rPr>
          <w:rFonts w:ascii="Times New Roman" w:hAnsi="Times New Roman"/>
          <w:sz w:val="24"/>
        </w:rPr>
      </w:pPr>
      <w:r>
        <w:rPr>
          <w:rFonts w:ascii="Times New Roman" w:hAnsi="Times New Roman"/>
          <w:sz w:val="24"/>
        </w:rPr>
        <w:t>В рамках реализации программы выделение подпрограмм не предусмотрено.</w:t>
      </w:r>
    </w:p>
    <w:p w14:paraId="0C010000">
      <w:pPr>
        <w:widowControl w:val="0"/>
        <w:spacing w:after="0"/>
        <w:ind/>
        <w:jc w:val="both"/>
        <w:outlineLvl w:val="1"/>
        <w:rPr>
          <w:rFonts w:ascii="Times New Roman" w:hAnsi="Times New Roman"/>
          <w:b w:val="1"/>
          <w:sz w:val="24"/>
        </w:rPr>
      </w:pPr>
    </w:p>
    <w:p w14:paraId="0D01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IХ. Обоснование объема финансовых ресурсов, необходимых для реализации муниципальной программы.</w:t>
      </w:r>
    </w:p>
    <w:p w14:paraId="0E010000">
      <w:pPr>
        <w:spacing w:after="0" w:line="240" w:lineRule="auto"/>
        <w:ind/>
        <w:jc w:val="both"/>
        <w:rPr>
          <w:rFonts w:ascii="Times New Roman" w:hAnsi="Times New Roman"/>
          <w:sz w:val="24"/>
        </w:rPr>
      </w:pPr>
    </w:p>
    <w:p w14:paraId="0F010000">
      <w:pPr>
        <w:spacing w:after="0" w:line="240" w:lineRule="auto"/>
        <w:ind w:firstLine="709" w:left="0"/>
        <w:jc w:val="both"/>
        <w:rPr>
          <w:rFonts w:ascii="Times New Roman" w:hAnsi="Times New Roman"/>
          <w:sz w:val="24"/>
        </w:rPr>
      </w:pPr>
      <w:r>
        <w:rPr>
          <w:rFonts w:ascii="Times New Roman" w:hAnsi="Times New Roman"/>
          <w:sz w:val="24"/>
        </w:rPr>
        <w:t xml:space="preserve">Организацию реализации Программы осуществляет заказчик Программы - Администрация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w:t>
      </w:r>
    </w:p>
    <w:p w14:paraId="10010000">
      <w:pPr>
        <w:spacing w:after="0" w:line="240" w:lineRule="auto"/>
        <w:ind w:firstLine="709" w:left="0"/>
        <w:jc w:val="both"/>
        <w:rPr>
          <w:rFonts w:ascii="Times New Roman" w:hAnsi="Times New Roman"/>
          <w:sz w:val="24"/>
        </w:rPr>
      </w:pPr>
      <w:r>
        <w:rPr>
          <w:rFonts w:ascii="Times New Roman" w:hAnsi="Times New Roman"/>
          <w:sz w:val="24"/>
        </w:rPr>
        <w:t xml:space="preserve"> Администрация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с учетом финансовых средств, выделяемых на реализацию Программы из всех источников и предварительных результатов выполнения мероприятий Программы, уточняет мероприятия, промежуточные сроки реализации и объемы их финансирования.</w:t>
      </w:r>
    </w:p>
    <w:p w14:paraId="11010000">
      <w:pPr>
        <w:spacing w:after="0" w:line="240" w:lineRule="auto"/>
        <w:ind w:firstLine="709" w:left="0"/>
        <w:jc w:val="both"/>
        <w:rPr>
          <w:rFonts w:ascii="Times New Roman" w:hAnsi="Times New Roman"/>
          <w:sz w:val="24"/>
        </w:rPr>
      </w:pPr>
      <w:r>
        <w:rPr>
          <w:rFonts w:ascii="Times New Roman" w:hAnsi="Times New Roman"/>
          <w:sz w:val="24"/>
        </w:rPr>
        <w:t>Исполнители Программы осуществляют в установленном порядке меры по полному и качественному выполнению ее мероприятий.</w:t>
      </w:r>
    </w:p>
    <w:p w14:paraId="12010000">
      <w:pPr>
        <w:spacing w:after="0" w:line="240" w:lineRule="auto"/>
        <w:ind w:firstLine="709" w:left="0"/>
        <w:jc w:val="both"/>
        <w:rPr>
          <w:rFonts w:ascii="Times New Roman" w:hAnsi="Times New Roman"/>
          <w:sz w:val="24"/>
        </w:rPr>
      </w:pPr>
      <w:r>
        <w:rPr>
          <w:rFonts w:ascii="Times New Roman" w:hAnsi="Times New Roman"/>
          <w:sz w:val="24"/>
        </w:rPr>
        <w:t xml:space="preserve">Мероприятия Программы реализуются за счет средств федерального, областного бюджетов, бюджета Фатежского района Курской области, бюджета Администрации </w:t>
      </w:r>
      <w:r>
        <w:rPr>
          <w:rFonts w:ascii="Times New Roman" w:hAnsi="Times New Roman"/>
          <w:sz w:val="24"/>
        </w:rPr>
        <w:t>Молотычевского</w:t>
      </w:r>
      <w:r>
        <w:rPr>
          <w:rFonts w:ascii="Times New Roman" w:hAnsi="Times New Roman"/>
          <w:sz w:val="24"/>
        </w:rPr>
        <w:t xml:space="preserve"> сельсовета Фатежского района, внебюджетных источников финансирования (средства предприятий и организаций).</w:t>
      </w:r>
    </w:p>
    <w:p w14:paraId="13010000">
      <w:pPr>
        <w:spacing w:after="0" w:line="240" w:lineRule="auto"/>
        <w:ind w:firstLine="709" w:left="0"/>
        <w:jc w:val="both"/>
        <w:rPr>
          <w:rFonts w:ascii="Times New Roman" w:hAnsi="Times New Roman"/>
          <w:sz w:val="24"/>
        </w:rPr>
      </w:pPr>
      <w:r>
        <w:rPr>
          <w:rFonts w:ascii="Times New Roman" w:hAnsi="Times New Roman"/>
          <w:sz w:val="24"/>
        </w:rPr>
        <w:t xml:space="preserve">Общий объем финансирования Программы за счет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составляет 72</w:t>
      </w:r>
      <w:r>
        <w:rPr>
          <w:rFonts w:ascii="Times New Roman" w:hAnsi="Times New Roman"/>
          <w:sz w:val="24"/>
        </w:rPr>
        <w:t>,0 тыс. рублей.</w:t>
      </w:r>
    </w:p>
    <w:p w14:paraId="14010000">
      <w:pPr>
        <w:spacing w:after="0" w:line="240" w:lineRule="auto"/>
        <w:ind w:firstLine="709" w:left="0"/>
        <w:jc w:val="both"/>
        <w:rPr>
          <w:rFonts w:ascii="Times New Roman" w:hAnsi="Times New Roman"/>
          <w:sz w:val="24"/>
        </w:rPr>
      </w:pPr>
      <w:r>
        <w:rPr>
          <w:rFonts w:ascii="Times New Roman" w:hAnsi="Times New Roman"/>
          <w:sz w:val="24"/>
        </w:rPr>
        <w:t>Финансирование Программы по годам предусматривает выполнение мероприятий в соответствии с приложением №2:</w:t>
      </w:r>
    </w:p>
    <w:p w14:paraId="15010000">
      <w:pPr>
        <w:spacing w:after="0" w:line="240" w:lineRule="auto"/>
        <w:ind w:firstLine="709" w:left="0"/>
        <w:jc w:val="both"/>
        <w:rPr>
          <w:rFonts w:ascii="Times New Roman" w:hAnsi="Times New Roman"/>
          <w:sz w:val="24"/>
        </w:rPr>
      </w:pPr>
      <w:r>
        <w:rPr>
          <w:rFonts w:ascii="Times New Roman" w:hAnsi="Times New Roman"/>
          <w:sz w:val="24"/>
        </w:rPr>
        <w:t>2014 год – 3,0 тыс. рублей, из которых:</w:t>
      </w:r>
    </w:p>
    <w:p w14:paraId="16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 3,0 тыс. руб.;</w:t>
      </w:r>
    </w:p>
    <w:p w14:paraId="17010000">
      <w:pPr>
        <w:spacing w:after="0" w:line="240" w:lineRule="auto"/>
        <w:ind w:firstLine="709" w:left="0"/>
        <w:jc w:val="both"/>
        <w:rPr>
          <w:rFonts w:ascii="Times New Roman" w:hAnsi="Times New Roman"/>
          <w:sz w:val="24"/>
        </w:rPr>
      </w:pPr>
      <w:r>
        <w:rPr>
          <w:rFonts w:ascii="Times New Roman" w:hAnsi="Times New Roman"/>
          <w:sz w:val="24"/>
        </w:rPr>
        <w:t>2015год – 3,0 тыс. рублей, из которых:</w:t>
      </w:r>
    </w:p>
    <w:p w14:paraId="18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19010000">
      <w:pPr>
        <w:spacing w:after="0" w:line="240" w:lineRule="auto"/>
        <w:ind w:firstLine="709" w:left="0"/>
        <w:jc w:val="both"/>
        <w:rPr>
          <w:rFonts w:ascii="Times New Roman" w:hAnsi="Times New Roman"/>
          <w:sz w:val="24"/>
        </w:rPr>
      </w:pPr>
      <w:r>
        <w:rPr>
          <w:rFonts w:ascii="Times New Roman" w:hAnsi="Times New Roman"/>
          <w:sz w:val="24"/>
        </w:rPr>
        <w:t>2016 год 3,0 тыс. рублей, из которых:</w:t>
      </w:r>
    </w:p>
    <w:p w14:paraId="1A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1B010000">
      <w:pPr>
        <w:spacing w:after="0" w:line="240" w:lineRule="auto"/>
        <w:ind w:firstLine="709" w:left="0"/>
        <w:jc w:val="both"/>
        <w:rPr>
          <w:rFonts w:ascii="Times New Roman" w:hAnsi="Times New Roman"/>
          <w:sz w:val="24"/>
        </w:rPr>
      </w:pPr>
      <w:r>
        <w:rPr>
          <w:rFonts w:ascii="Times New Roman" w:hAnsi="Times New Roman"/>
          <w:sz w:val="24"/>
        </w:rPr>
        <w:t>2017 год –3,0 тыс. рублей, из которых:</w:t>
      </w:r>
    </w:p>
    <w:p w14:paraId="1C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1D010000">
      <w:pPr>
        <w:spacing w:after="0" w:line="240" w:lineRule="auto"/>
        <w:ind w:firstLine="709" w:left="0"/>
        <w:jc w:val="both"/>
        <w:rPr>
          <w:rFonts w:ascii="Times New Roman" w:hAnsi="Times New Roman"/>
          <w:sz w:val="24"/>
        </w:rPr>
      </w:pPr>
      <w:r>
        <w:rPr>
          <w:rFonts w:ascii="Times New Roman" w:hAnsi="Times New Roman"/>
          <w:sz w:val="24"/>
        </w:rPr>
        <w:t>2018 год – 3,0 тыс. рублей, из которых:</w:t>
      </w:r>
    </w:p>
    <w:p w14:paraId="1E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1F010000">
      <w:pPr>
        <w:spacing w:after="0" w:line="240" w:lineRule="auto"/>
        <w:ind w:firstLine="709" w:left="0"/>
        <w:jc w:val="both"/>
        <w:rPr>
          <w:rFonts w:ascii="Times New Roman" w:hAnsi="Times New Roman"/>
          <w:sz w:val="24"/>
        </w:rPr>
      </w:pPr>
      <w:r>
        <w:rPr>
          <w:rFonts w:ascii="Times New Roman" w:hAnsi="Times New Roman"/>
          <w:sz w:val="24"/>
        </w:rPr>
        <w:t>2019 год – 3,0 тыс. рублей, из которых:</w:t>
      </w:r>
    </w:p>
    <w:p w14:paraId="20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21010000">
      <w:pPr>
        <w:spacing w:after="0" w:line="240" w:lineRule="auto"/>
        <w:ind w:firstLine="709" w:left="0"/>
        <w:jc w:val="both"/>
        <w:rPr>
          <w:rFonts w:ascii="Times New Roman" w:hAnsi="Times New Roman"/>
          <w:sz w:val="24"/>
        </w:rPr>
      </w:pPr>
      <w:r>
        <w:rPr>
          <w:rFonts w:ascii="Times New Roman" w:hAnsi="Times New Roman"/>
          <w:sz w:val="24"/>
        </w:rPr>
        <w:t>2020 год – 3,0 тыс. рублей, из которых:</w:t>
      </w:r>
    </w:p>
    <w:p w14:paraId="22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23010000">
      <w:pPr>
        <w:spacing w:after="0" w:line="240" w:lineRule="auto"/>
        <w:ind w:firstLine="709" w:left="0"/>
        <w:jc w:val="both"/>
        <w:rPr>
          <w:rFonts w:ascii="Times New Roman" w:hAnsi="Times New Roman"/>
          <w:sz w:val="24"/>
        </w:rPr>
      </w:pPr>
      <w:r>
        <w:rPr>
          <w:rFonts w:ascii="Times New Roman" w:hAnsi="Times New Roman"/>
          <w:sz w:val="24"/>
        </w:rPr>
        <w:t>2021 год – 3,0 тыс. рублей, из которых:</w:t>
      </w:r>
    </w:p>
    <w:p w14:paraId="24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25010000">
      <w:pPr>
        <w:spacing w:after="0" w:line="240" w:lineRule="auto"/>
        <w:ind w:firstLine="709" w:left="0"/>
        <w:jc w:val="both"/>
        <w:rPr>
          <w:rFonts w:ascii="Times New Roman" w:hAnsi="Times New Roman"/>
          <w:sz w:val="24"/>
        </w:rPr>
      </w:pPr>
      <w:r>
        <w:rPr>
          <w:rFonts w:ascii="Times New Roman" w:hAnsi="Times New Roman"/>
          <w:sz w:val="24"/>
        </w:rPr>
        <w:t>2022 год – 3,0 тыс. рублей, из которых:</w:t>
      </w:r>
    </w:p>
    <w:p w14:paraId="26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–3,0 тыс. руб.;</w:t>
      </w:r>
    </w:p>
    <w:p w14:paraId="27010000">
      <w:pPr>
        <w:spacing w:after="0" w:line="240" w:lineRule="auto"/>
        <w:ind w:firstLine="709" w:left="0"/>
        <w:jc w:val="both"/>
        <w:rPr>
          <w:rFonts w:ascii="Times New Roman" w:hAnsi="Times New Roman"/>
          <w:sz w:val="24"/>
        </w:rPr>
      </w:pPr>
      <w:bookmarkStart w:id="1" w:name="_Hlk213237723"/>
      <w:r>
        <w:rPr>
          <w:rFonts w:ascii="Times New Roman" w:hAnsi="Times New Roman"/>
          <w:sz w:val="24"/>
        </w:rPr>
        <w:t>2023 год – 2,0 тыс. рублей, из которых:</w:t>
      </w:r>
    </w:p>
    <w:p w14:paraId="28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w:t>
      </w:r>
      <w:r>
        <w:rPr>
          <w:rFonts w:ascii="Times New Roman" w:hAnsi="Times New Roman"/>
          <w:sz w:val="24"/>
        </w:rPr>
        <w:t xml:space="preserve">ти-2,0 </w:t>
      </w:r>
      <w:r>
        <w:rPr>
          <w:rFonts w:ascii="Times New Roman" w:hAnsi="Times New Roman"/>
          <w:sz w:val="24"/>
        </w:rPr>
        <w:t>тыс.руб</w:t>
      </w:r>
      <w:r>
        <w:rPr>
          <w:rFonts w:ascii="Times New Roman" w:hAnsi="Times New Roman"/>
          <w:sz w:val="24"/>
        </w:rPr>
        <w:t>.;</w:t>
      </w:r>
      <w:r>
        <w:rPr>
          <w:rFonts w:ascii="Times New Roman" w:hAnsi="Times New Roman"/>
          <w:sz w:val="24"/>
        </w:rPr>
        <w:t xml:space="preserve"> </w:t>
      </w:r>
    </w:p>
    <w:p w14:paraId="29010000">
      <w:pPr>
        <w:spacing w:after="0" w:line="240" w:lineRule="auto"/>
        <w:ind w:firstLine="709" w:left="0"/>
        <w:jc w:val="both"/>
        <w:rPr>
          <w:rFonts w:ascii="Times New Roman" w:hAnsi="Times New Roman"/>
          <w:sz w:val="24"/>
        </w:rPr>
      </w:pPr>
      <w:r>
        <w:rPr>
          <w:rFonts w:ascii="Times New Roman" w:hAnsi="Times New Roman"/>
          <w:sz w:val="24"/>
        </w:rPr>
        <w:t>2</w:t>
      </w:r>
      <w:r>
        <w:rPr>
          <w:rFonts w:ascii="Times New Roman" w:hAnsi="Times New Roman"/>
          <w:sz w:val="24"/>
        </w:rPr>
        <w:t>02</w:t>
      </w:r>
      <w:r>
        <w:rPr>
          <w:rFonts w:ascii="Times New Roman" w:hAnsi="Times New Roman"/>
          <w:sz w:val="24"/>
        </w:rPr>
        <w:t>4</w:t>
      </w:r>
      <w:r>
        <w:rPr>
          <w:rFonts w:ascii="Times New Roman" w:hAnsi="Times New Roman"/>
          <w:sz w:val="24"/>
        </w:rPr>
        <w:t xml:space="preserve"> год – </w:t>
      </w:r>
      <w:r>
        <w:rPr>
          <w:rFonts w:ascii="Times New Roman" w:hAnsi="Times New Roman"/>
          <w:sz w:val="24"/>
        </w:rPr>
        <w:t>3</w:t>
      </w:r>
      <w:r>
        <w:rPr>
          <w:rFonts w:ascii="Times New Roman" w:hAnsi="Times New Roman"/>
          <w:sz w:val="24"/>
        </w:rPr>
        <w:t>,0 тыс. рублей, из которых:</w:t>
      </w:r>
    </w:p>
    <w:p w14:paraId="2A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w:t>
      </w:r>
      <w:r>
        <w:rPr>
          <w:rFonts w:ascii="Times New Roman" w:hAnsi="Times New Roman"/>
          <w:sz w:val="24"/>
        </w:rPr>
        <w:t>3</w:t>
      </w:r>
      <w:r>
        <w:rPr>
          <w:rFonts w:ascii="Times New Roman" w:hAnsi="Times New Roman"/>
          <w:sz w:val="24"/>
        </w:rPr>
        <w:t xml:space="preserve">,0 </w:t>
      </w:r>
      <w:r>
        <w:rPr>
          <w:rFonts w:ascii="Times New Roman" w:hAnsi="Times New Roman"/>
          <w:sz w:val="24"/>
        </w:rPr>
        <w:t>тыс.руб</w:t>
      </w:r>
      <w:r>
        <w:rPr>
          <w:rFonts w:ascii="Times New Roman" w:hAnsi="Times New Roman"/>
          <w:sz w:val="24"/>
        </w:rPr>
        <w:t>.;</w:t>
      </w:r>
      <w:bookmarkEnd w:id="1"/>
    </w:p>
    <w:p w14:paraId="2B010000">
      <w:pPr>
        <w:spacing w:after="0" w:line="240" w:lineRule="auto"/>
        <w:ind w:firstLine="709" w:left="0"/>
        <w:jc w:val="both"/>
        <w:rPr>
          <w:rFonts w:ascii="Times New Roman" w:hAnsi="Times New Roman"/>
          <w:sz w:val="24"/>
        </w:rPr>
      </w:pPr>
      <w:r>
        <w:rPr>
          <w:rFonts w:ascii="Times New Roman" w:hAnsi="Times New Roman"/>
          <w:sz w:val="24"/>
        </w:rPr>
        <w:t>20</w:t>
      </w:r>
      <w:r>
        <w:rPr>
          <w:rFonts w:ascii="Times New Roman" w:hAnsi="Times New Roman"/>
          <w:sz w:val="24"/>
        </w:rPr>
        <w:t>25</w:t>
      </w:r>
      <w:r>
        <w:rPr>
          <w:rFonts w:ascii="Times New Roman" w:hAnsi="Times New Roman"/>
          <w:sz w:val="24"/>
        </w:rPr>
        <w:t xml:space="preserve"> год – 10</w:t>
      </w:r>
      <w:r>
        <w:rPr>
          <w:rFonts w:ascii="Times New Roman" w:hAnsi="Times New Roman"/>
          <w:sz w:val="24"/>
        </w:rPr>
        <w:t>,0 тыс. рублей, из которых:</w:t>
      </w:r>
    </w:p>
    <w:p w14:paraId="2C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–10</w:t>
      </w:r>
      <w:r>
        <w:rPr>
          <w:rFonts w:ascii="Times New Roman" w:hAnsi="Times New Roman"/>
          <w:sz w:val="24"/>
        </w:rPr>
        <w:t>,0 тыс. руб.;</w:t>
      </w:r>
    </w:p>
    <w:p w14:paraId="2D010000">
      <w:pPr>
        <w:spacing w:after="0" w:line="240" w:lineRule="auto"/>
        <w:ind w:firstLine="709" w:left="0"/>
        <w:jc w:val="both"/>
        <w:rPr>
          <w:rFonts w:ascii="Times New Roman" w:hAnsi="Times New Roman"/>
          <w:sz w:val="24"/>
        </w:rPr>
      </w:pPr>
      <w:r>
        <w:rPr>
          <w:rFonts w:ascii="Times New Roman" w:hAnsi="Times New Roman"/>
          <w:sz w:val="24"/>
        </w:rPr>
        <w:t>2026</w:t>
      </w:r>
      <w:r>
        <w:rPr>
          <w:rFonts w:ascii="Times New Roman" w:hAnsi="Times New Roman"/>
          <w:sz w:val="24"/>
        </w:rPr>
        <w:t xml:space="preserve"> год – 10,0 тыс. рублей, из которых:</w:t>
      </w:r>
    </w:p>
    <w:p w14:paraId="2E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–10,0 тыс. руб.;</w:t>
      </w:r>
    </w:p>
    <w:p w14:paraId="2F010000">
      <w:pPr>
        <w:spacing w:after="0" w:line="240" w:lineRule="auto"/>
        <w:ind w:firstLine="709" w:left="0"/>
        <w:jc w:val="both"/>
        <w:rPr>
          <w:rFonts w:ascii="Times New Roman" w:hAnsi="Times New Roman"/>
          <w:sz w:val="24"/>
        </w:rPr>
      </w:pPr>
      <w:r>
        <w:rPr>
          <w:rFonts w:ascii="Times New Roman" w:hAnsi="Times New Roman"/>
          <w:sz w:val="24"/>
        </w:rPr>
        <w:t>2027</w:t>
      </w:r>
      <w:r>
        <w:rPr>
          <w:rFonts w:ascii="Times New Roman" w:hAnsi="Times New Roman"/>
          <w:sz w:val="24"/>
        </w:rPr>
        <w:t xml:space="preserve"> год – 10,0 тыс. рублей, из которых:</w:t>
      </w:r>
    </w:p>
    <w:p w14:paraId="30010000">
      <w:pPr>
        <w:spacing w:after="0" w:line="240" w:lineRule="auto"/>
        <w:ind w:firstLine="709" w:left="0"/>
        <w:jc w:val="both"/>
        <w:rPr>
          <w:rFonts w:ascii="Times New Roman" w:hAnsi="Times New Roman"/>
          <w:sz w:val="24"/>
        </w:rPr>
      </w:pP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–10,0 тыс. руб.</w:t>
      </w:r>
    </w:p>
    <w:p w14:paraId="31010000">
      <w:pPr>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2028</w:t>
      </w:r>
      <w:r>
        <w:rPr>
          <w:rFonts w:ascii="Times New Roman" w:hAnsi="Times New Roman"/>
          <w:sz w:val="24"/>
        </w:rPr>
        <w:t xml:space="preserve"> год – 10,0 тыс. рублей, из которых:</w:t>
      </w:r>
    </w:p>
    <w:p w14:paraId="32010000">
      <w:pPr>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за счет средств бюджета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–10,0 тыс. руб.</w:t>
      </w:r>
    </w:p>
    <w:p w14:paraId="33010000">
      <w:pPr>
        <w:spacing w:after="0" w:line="240" w:lineRule="auto"/>
        <w:ind/>
        <w:jc w:val="both"/>
        <w:rPr>
          <w:rFonts w:ascii="Times New Roman" w:hAnsi="Times New Roman"/>
          <w:sz w:val="24"/>
        </w:rPr>
      </w:pPr>
    </w:p>
    <w:p w14:paraId="34010000">
      <w:pPr>
        <w:spacing w:after="0" w:line="240" w:lineRule="auto"/>
        <w:ind/>
        <w:jc w:val="center"/>
        <w:outlineLvl w:val="1"/>
        <w:rPr>
          <w:rFonts w:ascii="Times New Roman" w:hAnsi="Times New Roman"/>
          <w:b w:val="1"/>
          <w:sz w:val="24"/>
        </w:rPr>
      </w:pPr>
      <w:r>
        <w:rPr>
          <w:rFonts w:ascii="Times New Roman" w:hAnsi="Times New Roman"/>
          <w:b w:val="1"/>
          <w:sz w:val="24"/>
        </w:rPr>
        <w:t>Х. Прогноз результатов реализации муниципальной программы</w:t>
      </w:r>
    </w:p>
    <w:p w14:paraId="35010000">
      <w:pPr>
        <w:spacing w:after="0" w:line="240" w:lineRule="auto"/>
        <w:ind/>
        <w:jc w:val="both"/>
        <w:rPr>
          <w:rFonts w:ascii="Times New Roman" w:hAnsi="Times New Roman"/>
          <w:sz w:val="24"/>
        </w:rPr>
      </w:pPr>
    </w:p>
    <w:p w14:paraId="36010000">
      <w:pPr>
        <w:spacing w:after="0" w:line="240" w:lineRule="auto"/>
        <w:ind w:firstLine="709" w:left="0"/>
        <w:jc w:val="both"/>
        <w:rPr>
          <w:rFonts w:ascii="Times New Roman" w:hAnsi="Times New Roman"/>
          <w:sz w:val="24"/>
        </w:rPr>
      </w:pPr>
      <w:r>
        <w:rPr>
          <w:rFonts w:ascii="Times New Roman" w:hAnsi="Times New Roman"/>
          <w:sz w:val="24"/>
        </w:rPr>
        <w:t xml:space="preserve">При выполнении намеченных в Программе мероприятий и осуществлении своевременного финансирования предполагается за период 2014 - </w:t>
      </w:r>
      <w:r>
        <w:rPr>
          <w:rFonts w:ascii="Times New Roman" w:hAnsi="Times New Roman"/>
          <w:sz w:val="24"/>
        </w:rPr>
        <w:t>2028</w:t>
      </w:r>
      <w:r>
        <w:rPr>
          <w:rFonts w:ascii="Times New Roman" w:hAnsi="Times New Roman"/>
          <w:sz w:val="24"/>
        </w:rPr>
        <w:t xml:space="preserve"> годов добиться создания необходимых условий комплексной безопасности для повышения уровня защиты населения и территории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от ЧС, в том числе:</w:t>
      </w:r>
    </w:p>
    <w:p w14:paraId="37010000">
      <w:pPr>
        <w:spacing w:after="0" w:line="240" w:lineRule="auto"/>
        <w:ind w:firstLine="709" w:left="0"/>
        <w:jc w:val="both"/>
        <w:rPr>
          <w:rFonts w:ascii="Times New Roman" w:hAnsi="Times New Roman"/>
          <w:sz w:val="24"/>
        </w:rPr>
      </w:pPr>
      <w:r>
        <w:rPr>
          <w:rFonts w:ascii="Times New Roman" w:hAnsi="Times New Roman"/>
          <w:sz w:val="24"/>
        </w:rPr>
        <w:t>усовершенствовать систему антикризисного управления;</w:t>
      </w:r>
    </w:p>
    <w:p w14:paraId="38010000">
      <w:pPr>
        <w:spacing w:after="0" w:line="240" w:lineRule="auto"/>
        <w:ind w:firstLine="709" w:left="0"/>
        <w:jc w:val="both"/>
        <w:rPr>
          <w:rFonts w:ascii="Times New Roman" w:hAnsi="Times New Roman"/>
          <w:sz w:val="24"/>
        </w:rPr>
      </w:pPr>
      <w:r>
        <w:rPr>
          <w:rFonts w:ascii="Times New Roman" w:hAnsi="Times New Roman"/>
          <w:sz w:val="24"/>
        </w:rPr>
        <w:t>повысить качество подготовки безопасных районов к размещению эвакуируемого населения, его жизнеобеспечения, размещения материальных и культурных ценностей;</w:t>
      </w:r>
    </w:p>
    <w:p w14:paraId="39010000">
      <w:pPr>
        <w:spacing w:after="0" w:line="240" w:lineRule="auto"/>
        <w:ind w:firstLine="709" w:left="0"/>
        <w:jc w:val="both"/>
        <w:rPr>
          <w:rFonts w:ascii="Times New Roman" w:hAnsi="Times New Roman"/>
          <w:sz w:val="24"/>
        </w:rPr>
      </w:pPr>
      <w:r>
        <w:rPr>
          <w:rFonts w:ascii="Times New Roman" w:hAnsi="Times New Roman"/>
          <w:sz w:val="24"/>
        </w:rPr>
        <w:t>снизить гибель и количество пострадавшего населения;</w:t>
      </w:r>
    </w:p>
    <w:p w14:paraId="3A010000">
      <w:pPr>
        <w:spacing w:after="0" w:line="240" w:lineRule="auto"/>
        <w:ind w:firstLine="709" w:left="0"/>
        <w:jc w:val="both"/>
        <w:rPr>
          <w:rFonts w:ascii="Times New Roman" w:hAnsi="Times New Roman"/>
          <w:sz w:val="24"/>
        </w:rPr>
      </w:pPr>
      <w:r>
        <w:rPr>
          <w:rFonts w:ascii="Times New Roman" w:hAnsi="Times New Roman"/>
          <w:sz w:val="24"/>
        </w:rPr>
        <w:t>увеличить количество спасённого населения;</w:t>
      </w:r>
    </w:p>
    <w:p w14:paraId="3B010000">
      <w:pPr>
        <w:spacing w:after="0" w:line="240" w:lineRule="auto"/>
        <w:ind w:firstLine="709" w:left="0"/>
        <w:jc w:val="both"/>
        <w:rPr>
          <w:rFonts w:ascii="Times New Roman" w:hAnsi="Times New Roman"/>
          <w:sz w:val="24"/>
        </w:rPr>
      </w:pPr>
      <w:r>
        <w:rPr>
          <w:rFonts w:ascii="Times New Roman" w:hAnsi="Times New Roman"/>
          <w:sz w:val="24"/>
        </w:rPr>
        <w:t>обеспечить требуемый уровень пожарной безопасности и безопасности на водных объектах.</w:t>
      </w:r>
    </w:p>
    <w:p w14:paraId="3C010000">
      <w:pPr>
        <w:spacing w:after="0" w:line="240" w:lineRule="auto"/>
        <w:ind w:firstLine="709" w:left="0"/>
        <w:jc w:val="both"/>
        <w:rPr>
          <w:rFonts w:ascii="Times New Roman" w:hAnsi="Times New Roman"/>
          <w:sz w:val="24"/>
        </w:rPr>
      </w:pPr>
      <w:r>
        <w:rPr>
          <w:rFonts w:ascii="Times New Roman" w:hAnsi="Times New Roman"/>
          <w:sz w:val="24"/>
        </w:rPr>
        <w:t xml:space="preserve">Предполагаемый социально-экономический эффект от реализации Программы в первую очередь обусловлен прогнозируемым снижением риска гибели и травмирования людей, уменьшением материальных потерь, экономией денежных средств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w:t>
      </w:r>
    </w:p>
    <w:p w14:paraId="3D010000">
      <w:pPr>
        <w:spacing w:after="0" w:line="240" w:lineRule="auto"/>
        <w:ind w:firstLine="709" w:left="0"/>
        <w:jc w:val="both"/>
        <w:rPr>
          <w:rFonts w:ascii="Times New Roman" w:hAnsi="Times New Roman"/>
          <w:sz w:val="24"/>
        </w:rPr>
      </w:pPr>
      <w:r>
        <w:rPr>
          <w:rFonts w:ascii="Times New Roman" w:hAnsi="Times New Roman"/>
          <w:sz w:val="24"/>
        </w:rPr>
        <w:t xml:space="preserve">В результате реализации Программных мероприятий, по предварительным оценкам ожидается (по отношению к показателям </w:t>
      </w:r>
      <w:r>
        <w:rPr>
          <w:rFonts w:ascii="Times New Roman" w:hAnsi="Times New Roman"/>
          <w:sz w:val="24"/>
        </w:rPr>
        <w:t>2028</w:t>
      </w:r>
      <w:r>
        <w:rPr>
          <w:rFonts w:ascii="Times New Roman" w:hAnsi="Times New Roman"/>
          <w:sz w:val="24"/>
        </w:rPr>
        <w:t xml:space="preserve"> года):</w:t>
      </w:r>
    </w:p>
    <w:p w14:paraId="3E010000">
      <w:pPr>
        <w:spacing w:after="0" w:line="240" w:lineRule="auto"/>
        <w:ind w:firstLine="709" w:left="0"/>
        <w:jc w:val="both"/>
        <w:rPr>
          <w:rFonts w:ascii="Times New Roman" w:hAnsi="Times New Roman"/>
          <w:sz w:val="24"/>
        </w:rPr>
      </w:pPr>
      <w:r>
        <w:rPr>
          <w:rFonts w:ascii="Times New Roman" w:hAnsi="Times New Roman"/>
          <w:sz w:val="24"/>
        </w:rPr>
        <w:t xml:space="preserve">уменьшение среднего времени реагирования оперативных служб при происшествиях на 10 минут; </w:t>
      </w:r>
    </w:p>
    <w:p w14:paraId="3F010000">
      <w:pPr>
        <w:spacing w:after="0" w:line="240" w:lineRule="auto"/>
        <w:ind w:firstLine="709" w:left="0"/>
        <w:jc w:val="both"/>
        <w:rPr>
          <w:rFonts w:ascii="Times New Roman" w:hAnsi="Times New Roman"/>
          <w:sz w:val="24"/>
        </w:rPr>
      </w:pPr>
      <w:r>
        <w:rPr>
          <w:rFonts w:ascii="Times New Roman" w:hAnsi="Times New Roman"/>
          <w:sz w:val="24"/>
        </w:rPr>
        <w:t>повышение качества подготовки безопасных районов к размещению эвакуируемого населения, его жизнеобеспечения, размещения материальных и культурных ценностей;</w:t>
      </w:r>
    </w:p>
    <w:p w14:paraId="40010000">
      <w:pPr>
        <w:spacing w:after="0" w:line="240" w:lineRule="auto"/>
        <w:ind w:firstLine="709" w:left="0"/>
        <w:jc w:val="both"/>
        <w:rPr>
          <w:rFonts w:ascii="Times New Roman" w:hAnsi="Times New Roman"/>
          <w:sz w:val="24"/>
        </w:rPr>
      </w:pPr>
      <w:r>
        <w:rPr>
          <w:rFonts w:ascii="Times New Roman" w:hAnsi="Times New Roman"/>
          <w:sz w:val="24"/>
        </w:rPr>
        <w:t>снижение количества гибели людей – на 27%;</w:t>
      </w:r>
    </w:p>
    <w:p w14:paraId="41010000">
      <w:pPr>
        <w:spacing w:after="0" w:line="240" w:lineRule="auto"/>
        <w:ind w:firstLine="709" w:left="0"/>
        <w:jc w:val="both"/>
        <w:rPr>
          <w:rFonts w:ascii="Times New Roman" w:hAnsi="Times New Roman"/>
          <w:sz w:val="24"/>
        </w:rPr>
      </w:pPr>
      <w:r>
        <w:rPr>
          <w:rFonts w:ascii="Times New Roman" w:hAnsi="Times New Roman"/>
          <w:sz w:val="24"/>
        </w:rPr>
        <w:t>снижение количества пострадавшего населения – на 30%;</w:t>
      </w:r>
    </w:p>
    <w:p w14:paraId="42010000">
      <w:pPr>
        <w:spacing w:after="0" w:line="240" w:lineRule="auto"/>
        <w:ind w:firstLine="709" w:left="0"/>
        <w:jc w:val="both"/>
        <w:rPr>
          <w:rFonts w:ascii="Times New Roman" w:hAnsi="Times New Roman"/>
          <w:sz w:val="24"/>
        </w:rPr>
      </w:pPr>
      <w:r>
        <w:rPr>
          <w:rFonts w:ascii="Times New Roman" w:hAnsi="Times New Roman"/>
          <w:sz w:val="24"/>
        </w:rPr>
        <w:t>увеличение количества спасенного населения – на 30%;</w:t>
      </w:r>
    </w:p>
    <w:p w14:paraId="43010000">
      <w:pPr>
        <w:spacing w:after="0" w:line="240" w:lineRule="auto"/>
        <w:ind w:firstLine="709" w:left="0"/>
        <w:jc w:val="both"/>
        <w:rPr>
          <w:rFonts w:ascii="Times New Roman" w:hAnsi="Times New Roman"/>
          <w:sz w:val="24"/>
        </w:rPr>
      </w:pPr>
      <w:r>
        <w:rPr>
          <w:rFonts w:ascii="Times New Roman" w:hAnsi="Times New Roman"/>
          <w:sz w:val="24"/>
        </w:rPr>
        <w:t>повышение эффективности системы пожарной безопасности;</w:t>
      </w:r>
    </w:p>
    <w:p w14:paraId="44010000">
      <w:pPr>
        <w:spacing w:after="0" w:line="240" w:lineRule="auto"/>
        <w:ind w:firstLine="709" w:left="0"/>
        <w:jc w:val="both"/>
        <w:rPr>
          <w:rFonts w:ascii="Times New Roman" w:hAnsi="Times New Roman"/>
          <w:sz w:val="24"/>
        </w:rPr>
      </w:pPr>
      <w:r>
        <w:rPr>
          <w:rFonts w:ascii="Times New Roman" w:hAnsi="Times New Roman"/>
          <w:sz w:val="24"/>
        </w:rPr>
        <w:t>повышение эффективности системы безопасности людей на водных объектах;</w:t>
      </w:r>
    </w:p>
    <w:p w14:paraId="45010000">
      <w:pPr>
        <w:spacing w:after="0" w:line="240" w:lineRule="auto"/>
        <w:ind w:firstLine="709" w:left="0"/>
        <w:jc w:val="both"/>
        <w:rPr>
          <w:rFonts w:ascii="Times New Roman" w:hAnsi="Times New Roman"/>
          <w:sz w:val="24"/>
        </w:rPr>
      </w:pPr>
      <w:r>
        <w:rPr>
          <w:rFonts w:ascii="Times New Roman" w:hAnsi="Times New Roman"/>
          <w:sz w:val="24"/>
        </w:rPr>
        <w:t>снижение экономического ущерба.</w:t>
      </w:r>
    </w:p>
    <w:p w14:paraId="46010000">
      <w:pPr>
        <w:spacing w:after="0" w:line="240" w:lineRule="auto"/>
        <w:ind/>
        <w:jc w:val="both"/>
        <w:rPr>
          <w:rFonts w:ascii="Times New Roman" w:hAnsi="Times New Roman"/>
          <w:sz w:val="24"/>
        </w:rPr>
      </w:pPr>
    </w:p>
    <w:p w14:paraId="47010000">
      <w:pPr>
        <w:widowControl w:val="0"/>
        <w:spacing w:after="0"/>
        <w:ind/>
        <w:jc w:val="center"/>
        <w:outlineLvl w:val="1"/>
        <w:rPr>
          <w:rFonts w:ascii="Times New Roman" w:hAnsi="Times New Roman"/>
          <w:b w:val="1"/>
          <w:sz w:val="24"/>
        </w:rPr>
      </w:pPr>
      <w:r>
        <w:rPr>
          <w:rFonts w:ascii="Times New Roman" w:hAnsi="Times New Roman"/>
          <w:b w:val="1"/>
          <w:sz w:val="24"/>
        </w:rPr>
        <w:t>ХI. Анализ рисков реализации Муниципальной программы и описание мер управления рисками реализации Муниципальной программы.</w:t>
      </w:r>
    </w:p>
    <w:p w14:paraId="48010000">
      <w:pPr>
        <w:spacing w:after="0" w:line="240" w:lineRule="auto"/>
        <w:ind/>
        <w:jc w:val="both"/>
        <w:rPr>
          <w:rFonts w:ascii="Times New Roman" w:hAnsi="Times New Roman"/>
          <w:sz w:val="24"/>
        </w:rPr>
      </w:pPr>
    </w:p>
    <w:p w14:paraId="49010000">
      <w:pPr>
        <w:spacing w:after="0" w:line="240" w:lineRule="auto"/>
        <w:ind w:firstLine="709" w:left="0"/>
        <w:jc w:val="both"/>
        <w:rPr>
          <w:rFonts w:ascii="Times New Roman" w:hAnsi="Times New Roman"/>
          <w:sz w:val="24"/>
        </w:rPr>
      </w:pPr>
      <w:r>
        <w:rPr>
          <w:rFonts w:ascii="Times New Roman" w:hAnsi="Times New Roman"/>
          <w:sz w:val="24"/>
        </w:rPr>
        <w:t>Невыполнение или неэффективное выполнение Муниципальной программы возможно в случае реализации внутренних либо внешних рисков.</w:t>
      </w:r>
    </w:p>
    <w:p w14:paraId="4A010000">
      <w:pPr>
        <w:spacing w:after="0" w:line="240" w:lineRule="auto"/>
        <w:ind w:firstLine="709" w:left="0"/>
        <w:jc w:val="both"/>
        <w:rPr>
          <w:rFonts w:ascii="Times New Roman" w:hAnsi="Times New Roman"/>
          <w:sz w:val="24"/>
        </w:rPr>
      </w:pPr>
      <w:r>
        <w:rPr>
          <w:rFonts w:ascii="Times New Roman" w:hAnsi="Times New Roman"/>
          <w:sz w:val="24"/>
        </w:rPr>
        <w:t>К внутренним рискам можно отнести несоблюдение сроков реализации Муниципальной программы, неэффективное расходование денежных средств, не освоение выделенных денежных средств.</w:t>
      </w:r>
    </w:p>
    <w:p w14:paraId="4B010000">
      <w:pPr>
        <w:spacing w:after="0" w:line="240" w:lineRule="auto"/>
        <w:ind w:firstLine="709" w:left="0"/>
        <w:jc w:val="both"/>
        <w:rPr>
          <w:rFonts w:ascii="Times New Roman" w:hAnsi="Times New Roman"/>
          <w:sz w:val="24"/>
        </w:rPr>
      </w:pPr>
      <w:r>
        <w:rPr>
          <w:rFonts w:ascii="Times New Roman" w:hAnsi="Times New Roman"/>
          <w:sz w:val="24"/>
        </w:rPr>
        <w:t>Основными внешними рисками являются: нормативно-правовые и организационные (изменение структуры и задач органов местного самоуправления, территориальных органов областных и федеральных органов исполнительной власти, участвующих в реализации программных мероприятий, изменение нормативно-правовой базы),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в стране, Фатежском ра</w:t>
      </w:r>
      <w:r>
        <w:rPr>
          <w:rFonts w:ascii="Times New Roman" w:hAnsi="Times New Roman"/>
          <w:sz w:val="24"/>
        </w:rPr>
        <w:t>йоне, Курской области,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 местного самоуправления и государственной власти, ростом преступности), природно-техногенные (экологические катастрофы, эпидемии, неблагоприятные климатические изменения, природные катаклизмы и стихийные бедствия, а также иные чрезвычайные ситуации) и специфические (появление новых способов совершения преступлений).</w:t>
      </w:r>
    </w:p>
    <w:p w14:paraId="4C010000">
      <w:pPr>
        <w:spacing w:after="0" w:line="240" w:lineRule="auto"/>
        <w:ind w:firstLine="709" w:left="0"/>
        <w:jc w:val="both"/>
        <w:rPr>
          <w:rFonts w:ascii="Times New Roman" w:hAnsi="Times New Roman"/>
          <w:sz w:val="24"/>
        </w:rPr>
      </w:pPr>
      <w:r>
        <w:rPr>
          <w:rFonts w:ascii="Times New Roman" w:hAnsi="Times New Roman"/>
          <w:sz w:val="24"/>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социально-экономической политики, направленной на уменьшение социального неравенства и восстановление социал</w:t>
      </w:r>
      <w:r>
        <w:rPr>
          <w:rFonts w:ascii="Times New Roman" w:hAnsi="Times New Roman"/>
          <w:sz w:val="24"/>
        </w:rPr>
        <w:t xml:space="preserve">ьного благополучия, повышение уровня финансирования социальных программ, высокий уровень социальной защищенности жителей </w:t>
      </w:r>
      <w:r>
        <w:rPr>
          <w:rFonts w:ascii="Times New Roman" w:hAnsi="Times New Roman"/>
          <w:sz w:val="24"/>
        </w:rPr>
        <w:t>Молотычевского</w:t>
      </w:r>
      <w:r>
        <w:rPr>
          <w:rFonts w:ascii="Times New Roman" w:hAnsi="Times New Roman"/>
          <w:sz w:val="24"/>
        </w:rPr>
        <w:t xml:space="preserve"> сельсовета Фатежского района Курской области, участвующих в обеспечении правопорядка и общественной безопасности.</w:t>
      </w:r>
    </w:p>
    <w:p w14:paraId="4D010000">
      <w:pPr>
        <w:spacing w:after="0" w:line="240" w:lineRule="auto"/>
        <w:ind w:firstLine="709" w:left="0"/>
        <w:jc w:val="both"/>
        <w:rPr>
          <w:rFonts w:ascii="Times New Roman" w:hAnsi="Times New Roman"/>
          <w:sz w:val="24"/>
        </w:rPr>
      </w:pPr>
      <w:r>
        <w:rPr>
          <w:rFonts w:ascii="Times New Roman" w:hAnsi="Times New Roman"/>
          <w:sz w:val="24"/>
        </w:rPr>
        <w:t xml:space="preserve">К рискам, не поддающимся управлению, относятся, в первую очередь, различные форс-мажорные обстоятельства. </w:t>
      </w:r>
    </w:p>
    <w:p w14:paraId="4E010000">
      <w:pPr>
        <w:spacing w:after="0" w:line="240" w:lineRule="auto"/>
        <w:ind w:firstLine="709" w:left="0"/>
        <w:jc w:val="both"/>
        <w:rPr>
          <w:rFonts w:ascii="Times New Roman" w:hAnsi="Times New Roman"/>
          <w:sz w:val="24"/>
        </w:rPr>
      </w:pPr>
      <w:r>
        <w:rPr>
          <w:rFonts w:ascii="Times New Roman" w:hAnsi="Times New Roman"/>
          <w:sz w:val="24"/>
        </w:rPr>
        <w:t xml:space="preserve">Внесение изменений в Муниципальную программу осуществляется по инициативе ответственного исполнителя либо во исполнение поручений Главы </w:t>
      </w:r>
      <w:r>
        <w:rPr>
          <w:rFonts w:ascii="Times New Roman" w:hAnsi="Times New Roman"/>
          <w:sz w:val="24"/>
        </w:rPr>
        <w:t>Молотычевского</w:t>
      </w:r>
      <w:r>
        <w:rPr>
          <w:rFonts w:ascii="Times New Roman" w:hAnsi="Times New Roman"/>
          <w:sz w:val="24"/>
        </w:rPr>
        <w:t xml:space="preserve"> сельсовета Фатежского района в соответствии с </w:t>
      </w:r>
      <w:r>
        <w:rPr>
          <w:rFonts w:ascii="Times New Roman" w:hAnsi="Times New Roman"/>
          <w:color w:val="0000FF"/>
          <w:sz w:val="24"/>
          <w:u w:val="single"/>
        </w:rPr>
        <w:fldChar w:fldCharType="begin"/>
      </w:r>
      <w:r>
        <w:rPr>
          <w:rFonts w:ascii="Times New Roman" w:hAnsi="Times New Roman"/>
          <w:color w:val="0000FF"/>
          <w:sz w:val="24"/>
          <w:u w:val="single"/>
        </w:rPr>
        <w:instrText>HYPERLINK "consultantplus://offline/ref=15E1A944076A4D56165E0AAD552DB05FED7B19D7169853602FC84D5C5C46E7CBD1D5BC01E3CAA0DAF9E2L"</w:instrText>
      </w:r>
      <w:r>
        <w:rPr>
          <w:rFonts w:ascii="Times New Roman" w:hAnsi="Times New Roman"/>
          <w:color w:val="0000FF"/>
          <w:sz w:val="24"/>
          <w:u w:val="single"/>
        </w:rPr>
        <w:fldChar w:fldCharType="separate"/>
      </w:r>
      <w:r>
        <w:rPr>
          <w:rFonts w:ascii="Times New Roman" w:hAnsi="Times New Roman"/>
          <w:color w:val="0000FF"/>
          <w:sz w:val="24"/>
          <w:u w:val="single"/>
        </w:rPr>
        <w:t>порядком</w:t>
      </w:r>
      <w:r>
        <w:rPr>
          <w:rFonts w:ascii="Times New Roman" w:hAnsi="Times New Roman"/>
          <w:color w:val="0000FF"/>
          <w:sz w:val="24"/>
          <w:u w:val="single"/>
        </w:rPr>
        <w:fldChar w:fldCharType="end"/>
      </w:r>
      <w:r>
        <w:rPr>
          <w:rFonts w:ascii="Times New Roman" w:hAnsi="Times New Roman"/>
          <w:sz w:val="24"/>
        </w:rPr>
        <w:t xml:space="preserve"> разработки, реализации и оценки эффективности муниципальных программ Фатежского района Курской области, утвержденным постановлением Администрации </w:t>
      </w:r>
      <w:r>
        <w:rPr>
          <w:rFonts w:ascii="Times New Roman" w:hAnsi="Times New Roman"/>
          <w:sz w:val="24"/>
        </w:rPr>
        <w:t>Молотычевского</w:t>
      </w:r>
      <w:r>
        <w:rPr>
          <w:rFonts w:ascii="Times New Roman" w:hAnsi="Times New Roman"/>
          <w:sz w:val="24"/>
        </w:rPr>
        <w:t xml:space="preserve"> сельсовета Фатежского района от 12.11.2013 № 104 «Об утверждении Порядка разработки, реализации и оценки эффективности муниципальных программ </w:t>
      </w:r>
      <w:r>
        <w:rPr>
          <w:rFonts w:ascii="Times New Roman" w:hAnsi="Times New Roman"/>
          <w:sz w:val="24"/>
        </w:rPr>
        <w:t>Молотычевского</w:t>
      </w:r>
      <w:r>
        <w:rPr>
          <w:rFonts w:ascii="Times New Roman" w:hAnsi="Times New Roman"/>
          <w:sz w:val="24"/>
        </w:rPr>
        <w:t xml:space="preserve"> сельсовета Фатежского района».</w:t>
      </w:r>
    </w:p>
    <w:p w14:paraId="4F010000">
      <w:pPr>
        <w:spacing w:after="0" w:line="240" w:lineRule="auto"/>
        <w:ind/>
        <w:jc w:val="center"/>
        <w:rPr>
          <w:rFonts w:ascii="Times New Roman" w:hAnsi="Times New Roman"/>
          <w:b w:val="1"/>
          <w:sz w:val="24"/>
        </w:rPr>
      </w:pPr>
    </w:p>
    <w:p w14:paraId="50010000">
      <w:pPr>
        <w:spacing w:after="0" w:line="240" w:lineRule="auto"/>
        <w:ind/>
        <w:jc w:val="center"/>
        <w:rPr>
          <w:rFonts w:ascii="Times New Roman" w:hAnsi="Times New Roman"/>
          <w:b w:val="1"/>
          <w:sz w:val="24"/>
        </w:rPr>
      </w:pPr>
      <w:r>
        <w:rPr>
          <w:rFonts w:ascii="Times New Roman" w:hAnsi="Times New Roman"/>
          <w:b w:val="1"/>
          <w:sz w:val="24"/>
        </w:rPr>
        <w:t>ХII. Методика оценки эффективности Муниципальной программы</w:t>
      </w:r>
    </w:p>
    <w:p w14:paraId="51010000">
      <w:pPr>
        <w:spacing w:after="0" w:line="240" w:lineRule="auto"/>
        <w:ind/>
        <w:jc w:val="center"/>
        <w:rPr>
          <w:rFonts w:ascii="Times New Roman" w:hAnsi="Times New Roman"/>
          <w:b w:val="1"/>
          <w:sz w:val="24"/>
        </w:rPr>
      </w:pPr>
    </w:p>
    <w:p w14:paraId="52010000">
      <w:pPr>
        <w:widowControl w:val="0"/>
        <w:spacing w:after="0" w:line="240" w:lineRule="auto"/>
        <w:ind w:firstLine="709" w:left="0"/>
        <w:jc w:val="both"/>
        <w:rPr>
          <w:rFonts w:ascii="Times New Roman" w:hAnsi="Times New Roman"/>
          <w:sz w:val="24"/>
        </w:rPr>
      </w:pPr>
      <w:r>
        <w:rPr>
          <w:rFonts w:ascii="Times New Roman" w:hAnsi="Times New Roman"/>
          <w:sz w:val="24"/>
        </w:rPr>
        <w:t>Степень достижения запланированных результатов реализации Муниципальной программы в отчетном году оценивается по формализованной методике путем введения интегральных показателей, отражающих результаты сопоставления фактически достигнутых значений показателей Муниципальной программы с их плановыми значениями.</w:t>
      </w:r>
    </w:p>
    <w:p w14:paraId="53010000">
      <w:pPr>
        <w:spacing w:after="0" w:line="240" w:lineRule="auto"/>
        <w:ind w:firstLine="709" w:left="0"/>
        <w:jc w:val="both"/>
        <w:rPr>
          <w:rFonts w:ascii="Times New Roman" w:hAnsi="Times New Roman"/>
          <w:sz w:val="24"/>
        </w:rPr>
      </w:pPr>
      <w:r>
        <w:rPr>
          <w:rFonts w:ascii="Times New Roman" w:hAnsi="Times New Roman"/>
          <w:sz w:val="24"/>
        </w:rPr>
        <w:t>Для оценки эффективности реализации Программы используются целевые показатели по направлениям, которые отражают выполнение мероприятий Программы.</w:t>
      </w:r>
    </w:p>
    <w:p w14:paraId="54010000">
      <w:pPr>
        <w:spacing w:after="0" w:line="240" w:lineRule="auto"/>
        <w:ind w:firstLine="709" w:left="0"/>
        <w:jc w:val="both"/>
        <w:rPr>
          <w:rFonts w:ascii="Times New Roman" w:hAnsi="Times New Roman"/>
          <w:sz w:val="24"/>
        </w:rPr>
      </w:pPr>
      <w:r>
        <w:rPr>
          <w:rFonts w:ascii="Times New Roman" w:hAnsi="Times New Roman"/>
          <w:sz w:val="24"/>
        </w:rPr>
        <w:t>Расчет оценки целевых показателей реализации Программы осуществляется следующим образом:</w:t>
      </w:r>
    </w:p>
    <w:p w14:paraId="55010000">
      <w:pPr>
        <w:spacing w:after="0" w:line="240" w:lineRule="auto"/>
        <w:ind w:firstLine="709" w:left="0"/>
        <w:jc w:val="both"/>
        <w:rPr>
          <w:rFonts w:ascii="Times New Roman" w:hAnsi="Times New Roman"/>
          <w:sz w:val="24"/>
        </w:rPr>
      </w:pPr>
    </w:p>
    <w:tbl>
      <w:tblPr>
        <w:tblStyle w:val="Style_2"/>
        <w:tblInd w:type="dxa" w:w="2"/>
        <w:tblLayout w:type="fixed"/>
        <w:tblCellMar>
          <w:left w:type="dxa" w:w="75"/>
          <w:right w:type="dxa" w:w="75"/>
        </w:tblCellMar>
      </w:tblPr>
      <w:tblGrid>
        <w:gridCol w:w="1010"/>
        <w:gridCol w:w="3922"/>
        <w:gridCol w:w="2912"/>
        <w:gridCol w:w="1792"/>
      </w:tblGrid>
      <w:tr>
        <w:trPr>
          <w:trHeight w:hRule="atLeast" w:val="979"/>
        </w:trPr>
        <w:tc>
          <w:tcPr>
            <w:tcW w:type="dxa" w:w="1010"/>
            <w:tcBorders>
              <w:top w:color="000000" w:sz="4" w:val="single"/>
              <w:left w:color="000000" w:sz="4" w:val="single"/>
              <w:bottom w:color="000000" w:sz="4" w:val="single"/>
              <w:right w:color="000000" w:sz="4" w:val="single"/>
            </w:tcBorders>
            <w:tcMar>
              <w:left w:type="dxa" w:w="75"/>
              <w:right w:type="dxa" w:w="75"/>
            </w:tcMar>
          </w:tcPr>
          <w:p w14:paraId="56010000">
            <w:pPr>
              <w:widowControl w:val="0"/>
              <w:spacing w:after="0" w:line="240" w:lineRule="auto"/>
              <w:ind w:right="-75"/>
              <w:jc w:val="center"/>
              <w:rPr>
                <w:rFonts w:ascii="Times New Roman" w:hAnsi="Times New Roman"/>
                <w:sz w:val="24"/>
              </w:rPr>
            </w:pPr>
            <w:r>
              <w:rPr>
                <w:rFonts w:ascii="Times New Roman" w:hAnsi="Times New Roman"/>
                <w:sz w:val="24"/>
              </w:rPr>
              <w:t>№</w:t>
            </w:r>
          </w:p>
          <w:p w14:paraId="57010000">
            <w:pPr>
              <w:widowControl w:val="0"/>
              <w:spacing w:after="0" w:line="240" w:lineRule="auto"/>
              <w:ind w:right="-75"/>
              <w:jc w:val="center"/>
              <w:rPr>
                <w:rFonts w:ascii="Times New Roman" w:hAnsi="Times New Roman"/>
                <w:sz w:val="24"/>
              </w:rPr>
            </w:pPr>
            <w:r>
              <w:rPr>
                <w:rFonts w:ascii="Times New Roman" w:hAnsi="Times New Roman"/>
                <w:sz w:val="24"/>
              </w:rPr>
              <w:t>п/п</w:t>
            </w:r>
          </w:p>
          <w:p w14:paraId="58010000">
            <w:pPr>
              <w:widowControl w:val="0"/>
              <w:spacing w:after="0" w:line="240" w:lineRule="auto"/>
              <w:ind w:right="-75"/>
              <w:jc w:val="center"/>
              <w:rPr>
                <w:rFonts w:ascii="Times New Roman" w:hAnsi="Times New Roman"/>
                <w:sz w:val="24"/>
              </w:rPr>
            </w:pPr>
            <w:r>
              <w:rPr>
                <w:rFonts w:ascii="Times New Roman" w:hAnsi="Times New Roman"/>
                <w:sz w:val="24"/>
              </w:rPr>
              <w:t>(</w:t>
            </w:r>
            <w:r>
              <w:rPr>
                <w:rFonts w:ascii="Times New Roman" w:hAnsi="Times New Roman"/>
                <w:sz w:val="24"/>
              </w:rPr>
              <w:t>нр</w:t>
            </w:r>
            <w:r>
              <w:rPr>
                <w:rFonts w:ascii="Times New Roman" w:hAnsi="Times New Roman"/>
                <w:sz w:val="24"/>
              </w:rPr>
              <w:t xml:space="preserve">. </w:t>
            </w:r>
            <w:r>
              <w:rPr>
                <w:rFonts w:ascii="Times New Roman" w:hAnsi="Times New Roman"/>
                <w:sz w:val="24"/>
              </w:rPr>
              <w:t>подпр</w:t>
            </w:r>
            <w:r>
              <w:rPr>
                <w:rFonts w:ascii="Times New Roman" w:hAnsi="Times New Roman"/>
                <w:sz w:val="24"/>
              </w:rPr>
              <w:t>.)</w:t>
            </w:r>
          </w:p>
        </w:tc>
        <w:tc>
          <w:tcPr>
            <w:tcW w:type="dxa" w:w="3922"/>
            <w:tcBorders>
              <w:top w:color="000000" w:sz="4" w:val="single"/>
              <w:left w:color="000000" w:sz="4" w:val="single"/>
              <w:bottom w:color="000000" w:sz="4" w:val="single"/>
              <w:right w:color="000000" w:sz="4" w:val="single"/>
            </w:tcBorders>
            <w:tcMar>
              <w:left w:type="dxa" w:w="75"/>
              <w:right w:type="dxa" w:w="75"/>
            </w:tcMar>
          </w:tcPr>
          <w:p w14:paraId="59010000">
            <w:pPr>
              <w:widowControl w:val="0"/>
              <w:spacing w:after="0" w:line="240" w:lineRule="auto"/>
              <w:ind/>
              <w:jc w:val="center"/>
              <w:rPr>
                <w:rFonts w:ascii="Times New Roman" w:hAnsi="Times New Roman"/>
                <w:sz w:val="24"/>
              </w:rPr>
            </w:pPr>
            <w:r>
              <w:rPr>
                <w:rFonts w:ascii="Times New Roman" w:hAnsi="Times New Roman"/>
                <w:sz w:val="24"/>
              </w:rPr>
              <w:t>Показатель (индикатор) (наименование)</w:t>
            </w:r>
          </w:p>
        </w:tc>
        <w:tc>
          <w:tcPr>
            <w:tcW w:type="dxa" w:w="2912"/>
            <w:tcBorders>
              <w:top w:color="000000" w:sz="4" w:val="single"/>
              <w:left w:color="000000" w:sz="4" w:val="single"/>
              <w:bottom w:color="000000" w:sz="4" w:val="single"/>
              <w:right w:color="000000" w:sz="4" w:val="single"/>
            </w:tcBorders>
            <w:tcMar>
              <w:left w:type="dxa" w:w="75"/>
              <w:right w:type="dxa" w:w="75"/>
            </w:tcMar>
          </w:tcPr>
          <w:p w14:paraId="5A010000">
            <w:pPr>
              <w:widowControl w:val="0"/>
              <w:spacing w:after="0" w:line="240" w:lineRule="auto"/>
              <w:ind/>
              <w:jc w:val="center"/>
              <w:rPr>
                <w:rFonts w:ascii="Times New Roman" w:hAnsi="Times New Roman"/>
                <w:sz w:val="24"/>
              </w:rPr>
            </w:pPr>
            <w:r>
              <w:rPr>
                <w:rFonts w:ascii="Times New Roman" w:hAnsi="Times New Roman"/>
                <w:sz w:val="24"/>
              </w:rPr>
              <w:t>Методика расчета</w:t>
            </w:r>
          </w:p>
        </w:tc>
        <w:tc>
          <w:tcPr>
            <w:tcW w:type="dxa" w:w="1792"/>
            <w:tcBorders>
              <w:top w:color="000000" w:sz="4" w:val="single"/>
              <w:left w:color="000000" w:sz="4" w:val="single"/>
              <w:bottom w:color="000000" w:sz="4" w:val="single"/>
              <w:right w:color="000000" w:sz="4" w:val="single"/>
            </w:tcBorders>
            <w:tcMar>
              <w:left w:type="dxa" w:w="75"/>
              <w:right w:type="dxa" w:w="75"/>
            </w:tcMar>
          </w:tcPr>
          <w:p w14:paraId="5B010000">
            <w:pPr>
              <w:widowControl w:val="0"/>
              <w:spacing w:after="0" w:line="240" w:lineRule="auto"/>
              <w:ind/>
              <w:jc w:val="center"/>
              <w:rPr>
                <w:rFonts w:ascii="Times New Roman" w:hAnsi="Times New Roman"/>
                <w:sz w:val="24"/>
              </w:rPr>
            </w:pPr>
            <w:r>
              <w:rPr>
                <w:rFonts w:ascii="Times New Roman" w:hAnsi="Times New Roman"/>
                <w:sz w:val="24"/>
              </w:rPr>
              <w:t>Превышение планового значения показателя оценивается</w:t>
            </w:r>
          </w:p>
        </w:tc>
      </w:tr>
      <w:tr>
        <w:trPr>
          <w:trHeight w:hRule="atLeast" w:val="141"/>
        </w:trPr>
        <w:tc>
          <w:tcPr>
            <w:tcW w:type="dxa" w:w="1010"/>
            <w:tcBorders>
              <w:top w:sz="4" w:val="nil"/>
              <w:left w:color="000000" w:sz="4" w:val="single"/>
              <w:bottom w:color="000000" w:sz="4" w:val="single"/>
              <w:right w:color="000000" w:sz="4" w:val="single"/>
            </w:tcBorders>
            <w:tcMar>
              <w:left w:type="dxa" w:w="75"/>
              <w:right w:type="dxa" w:w="75"/>
            </w:tcMar>
          </w:tcPr>
          <w:p w14:paraId="5C01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3922"/>
            <w:tcBorders>
              <w:top w:sz="4" w:val="nil"/>
              <w:left w:color="000000" w:sz="4" w:val="single"/>
              <w:bottom w:color="000000" w:sz="4" w:val="single"/>
              <w:right w:color="000000" w:sz="4" w:val="single"/>
            </w:tcBorders>
            <w:tcMar>
              <w:left w:type="dxa" w:w="75"/>
              <w:right w:type="dxa" w:w="75"/>
            </w:tcMar>
          </w:tcPr>
          <w:p w14:paraId="5D01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2912"/>
            <w:tcBorders>
              <w:top w:sz="4" w:val="nil"/>
              <w:left w:color="000000" w:sz="4" w:val="single"/>
              <w:bottom w:color="000000" w:sz="4" w:val="single"/>
              <w:right w:color="000000" w:sz="4" w:val="single"/>
            </w:tcBorders>
            <w:tcMar>
              <w:left w:type="dxa" w:w="75"/>
              <w:right w:type="dxa" w:w="75"/>
            </w:tcMar>
          </w:tcPr>
          <w:p w14:paraId="5E01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792"/>
            <w:tcBorders>
              <w:top w:sz="4" w:val="nil"/>
              <w:left w:color="000000" w:sz="4" w:val="single"/>
              <w:bottom w:color="000000" w:sz="4" w:val="single"/>
              <w:right w:color="000000" w:sz="4" w:val="single"/>
            </w:tcBorders>
            <w:tcMar>
              <w:left w:type="dxa" w:w="75"/>
              <w:right w:type="dxa" w:w="75"/>
            </w:tcMar>
          </w:tcPr>
          <w:p w14:paraId="5F010000">
            <w:pPr>
              <w:widowControl w:val="0"/>
              <w:spacing w:after="0" w:line="240" w:lineRule="auto"/>
              <w:ind/>
              <w:jc w:val="center"/>
              <w:rPr>
                <w:rFonts w:ascii="Times New Roman" w:hAnsi="Times New Roman"/>
                <w:sz w:val="24"/>
              </w:rPr>
            </w:pPr>
            <w:r>
              <w:rPr>
                <w:rFonts w:ascii="Times New Roman" w:hAnsi="Times New Roman"/>
                <w:sz w:val="24"/>
              </w:rPr>
              <w:t>4</w:t>
            </w:r>
          </w:p>
        </w:tc>
      </w:tr>
      <w:tr>
        <w:trPr>
          <w:trHeight w:hRule="atLeast" w:val="328"/>
        </w:trPr>
        <w:tc>
          <w:tcPr>
            <w:tcW w:type="dxa" w:w="9636"/>
            <w:gridSpan w:val="4"/>
            <w:tcBorders>
              <w:top w:sz="4" w:val="nil"/>
              <w:left w:color="000000" w:sz="4" w:val="single"/>
              <w:bottom w:color="000000" w:sz="4" w:val="single"/>
              <w:right w:color="000000" w:sz="4" w:val="single"/>
            </w:tcBorders>
            <w:tcMar>
              <w:left w:type="dxa" w:w="75"/>
              <w:right w:type="dxa" w:w="75"/>
            </w:tcMar>
          </w:tcPr>
          <w:p w14:paraId="60010000">
            <w:pPr>
              <w:widowControl w:val="0"/>
              <w:spacing w:after="0" w:line="240" w:lineRule="auto"/>
              <w:ind/>
              <w:jc w:val="center"/>
              <w:rPr>
                <w:rFonts w:ascii="Times New Roman" w:hAnsi="Times New Roman"/>
                <w:sz w:val="24"/>
              </w:rPr>
            </w:pPr>
            <w:r>
              <w:rPr>
                <w:rFonts w:ascii="Times New Roman" w:hAnsi="Times New Roman"/>
                <w:sz w:val="24"/>
              </w:rPr>
              <w:t>Муниципальная программа</w:t>
            </w:r>
          </w:p>
        </w:tc>
      </w:tr>
      <w:tr>
        <w:trPr>
          <w:trHeight w:hRule="atLeast" w:val="391"/>
        </w:trPr>
        <w:tc>
          <w:tcPr>
            <w:tcW w:type="dxa" w:w="1010"/>
            <w:tcBorders>
              <w:top w:sz="4" w:val="nil"/>
              <w:left w:color="000000" w:sz="4" w:val="single"/>
              <w:bottom w:color="000000" w:sz="4" w:val="single"/>
              <w:right w:color="000000" w:sz="4" w:val="single"/>
            </w:tcBorders>
            <w:tcMar>
              <w:left w:type="dxa" w:w="75"/>
              <w:right w:type="dxa" w:w="75"/>
            </w:tcMar>
          </w:tcPr>
          <w:p w14:paraId="61010000">
            <w:pPr>
              <w:widowControl w:val="0"/>
              <w:spacing w:after="0" w:line="240" w:lineRule="auto"/>
              <w:ind w:right="-75"/>
              <w:jc w:val="both"/>
              <w:rPr>
                <w:rFonts w:ascii="Times New Roman" w:hAnsi="Times New Roman"/>
                <w:sz w:val="24"/>
              </w:rPr>
            </w:pPr>
            <w:r>
              <w:rPr>
                <w:rFonts w:ascii="Times New Roman" w:hAnsi="Times New Roman"/>
                <w:sz w:val="24"/>
              </w:rPr>
              <w:t>1.(1.1.)</w:t>
            </w:r>
          </w:p>
        </w:tc>
        <w:tc>
          <w:tcPr>
            <w:tcW w:type="dxa" w:w="3922"/>
            <w:tcBorders>
              <w:top w:sz="4" w:val="nil"/>
              <w:left w:color="000000" w:sz="4" w:val="single"/>
              <w:bottom w:color="000000" w:sz="4" w:val="single"/>
              <w:right w:color="000000" w:sz="4" w:val="single"/>
            </w:tcBorders>
            <w:tcMar>
              <w:left w:type="dxa" w:w="75"/>
              <w:right w:type="dxa" w:w="75"/>
            </w:tcMar>
          </w:tcPr>
          <w:p w14:paraId="62010000">
            <w:pPr>
              <w:widowControl w:val="0"/>
              <w:spacing w:after="0" w:line="240" w:lineRule="auto"/>
              <w:ind/>
              <w:jc w:val="both"/>
              <w:rPr>
                <w:rFonts w:ascii="Times New Roman" w:hAnsi="Times New Roman"/>
                <w:sz w:val="24"/>
              </w:rPr>
            </w:pPr>
            <w:r>
              <w:rPr>
                <w:rFonts w:ascii="Times New Roman" w:hAnsi="Times New Roman"/>
                <w:sz w:val="24"/>
              </w:rPr>
              <w:t>Д</w:t>
            </w:r>
            <w:r>
              <w:rPr>
                <w:rFonts w:ascii="Times New Roman" w:hAnsi="Times New Roman"/>
                <w:sz w:val="24"/>
              </w:rPr>
              <w:t>оля граждан, обученных по действиям в ЧС природного и техногенного характера в Фатежском районе</w:t>
            </w:r>
          </w:p>
        </w:tc>
        <w:tc>
          <w:tcPr>
            <w:tcW w:type="dxa" w:w="2912"/>
            <w:tcBorders>
              <w:top w:sz="4" w:val="nil"/>
              <w:left w:color="000000" w:sz="4" w:val="single"/>
              <w:bottom w:color="000000" w:sz="4" w:val="single"/>
              <w:right w:color="000000" w:sz="4" w:val="single"/>
            </w:tcBorders>
            <w:tcMar>
              <w:left w:type="dxa" w:w="75"/>
              <w:right w:type="dxa" w:w="75"/>
            </w:tcMar>
          </w:tcPr>
          <w:p w14:paraId="63010000">
            <w:pPr>
              <w:widowControl w:val="0"/>
              <w:spacing w:after="0" w:line="240" w:lineRule="auto"/>
              <w:ind/>
              <w:jc w:val="both"/>
              <w:rPr>
                <w:rFonts w:ascii="Times New Roman" w:hAnsi="Times New Roman"/>
                <w:sz w:val="24"/>
              </w:rPr>
            </w:pPr>
            <w:r>
              <w:rPr>
                <w:rFonts w:ascii="Times New Roman" w:hAnsi="Times New Roman"/>
                <w:sz w:val="24"/>
              </w:rPr>
              <w:t>количество обученных граждан /</w:t>
            </w:r>
          </w:p>
          <w:p w14:paraId="64010000">
            <w:pPr>
              <w:widowControl w:val="0"/>
              <w:spacing w:after="0" w:line="240" w:lineRule="auto"/>
              <w:ind/>
              <w:jc w:val="both"/>
              <w:rPr>
                <w:rFonts w:ascii="Times New Roman" w:hAnsi="Times New Roman"/>
                <w:sz w:val="24"/>
              </w:rPr>
            </w:pPr>
            <w:r>
              <w:rPr>
                <w:rFonts w:ascii="Times New Roman" w:hAnsi="Times New Roman"/>
                <w:sz w:val="24"/>
              </w:rPr>
              <w:t>общее количество граждан Х 100 процентов</w:t>
            </w:r>
          </w:p>
        </w:tc>
        <w:tc>
          <w:tcPr>
            <w:tcW w:type="dxa" w:w="1792"/>
            <w:tcBorders>
              <w:top w:sz="4" w:val="nil"/>
              <w:left w:color="000000" w:sz="4" w:val="single"/>
              <w:bottom w:color="000000" w:sz="4" w:val="single"/>
              <w:right w:color="000000" w:sz="4" w:val="single"/>
            </w:tcBorders>
            <w:tcMar>
              <w:left w:type="dxa" w:w="75"/>
              <w:right w:type="dxa" w:w="75"/>
            </w:tcMar>
          </w:tcPr>
          <w:p w14:paraId="65010000">
            <w:pPr>
              <w:widowControl w:val="0"/>
              <w:spacing w:after="0" w:line="240" w:lineRule="auto"/>
              <w:ind/>
              <w:jc w:val="both"/>
              <w:rPr>
                <w:rFonts w:ascii="Times New Roman" w:hAnsi="Times New Roman"/>
                <w:sz w:val="24"/>
              </w:rPr>
            </w:pPr>
            <w:r>
              <w:rPr>
                <w:rFonts w:ascii="Times New Roman" w:hAnsi="Times New Roman"/>
                <w:sz w:val="24"/>
              </w:rPr>
              <w:t>положительно</w:t>
            </w:r>
          </w:p>
        </w:tc>
      </w:tr>
      <w:tr>
        <w:trPr>
          <w:trHeight w:hRule="atLeast" w:val="391"/>
        </w:trPr>
        <w:tc>
          <w:tcPr>
            <w:tcW w:type="dxa" w:w="1010"/>
            <w:tcBorders>
              <w:top w:sz="4" w:val="nil"/>
              <w:left w:color="000000" w:sz="4" w:val="single"/>
              <w:bottom w:color="000000" w:sz="4" w:val="single"/>
              <w:right w:color="000000" w:sz="4" w:val="single"/>
            </w:tcBorders>
            <w:tcMar>
              <w:left w:type="dxa" w:w="75"/>
              <w:right w:type="dxa" w:w="75"/>
            </w:tcMar>
          </w:tcPr>
          <w:p w14:paraId="66010000">
            <w:pPr>
              <w:widowControl w:val="0"/>
              <w:spacing w:after="0" w:line="240" w:lineRule="auto"/>
              <w:ind w:right="-75"/>
              <w:jc w:val="both"/>
              <w:rPr>
                <w:rFonts w:ascii="Times New Roman" w:hAnsi="Times New Roman"/>
                <w:sz w:val="24"/>
              </w:rPr>
            </w:pPr>
            <w:r>
              <w:rPr>
                <w:rFonts w:ascii="Times New Roman" w:hAnsi="Times New Roman"/>
                <w:sz w:val="24"/>
              </w:rPr>
              <w:t>2.(1.3.)</w:t>
            </w:r>
          </w:p>
        </w:tc>
        <w:tc>
          <w:tcPr>
            <w:tcW w:type="dxa" w:w="3922"/>
            <w:tcBorders>
              <w:top w:sz="4" w:val="nil"/>
              <w:left w:color="000000" w:sz="4" w:val="single"/>
              <w:bottom w:color="000000" w:sz="4" w:val="single"/>
              <w:right w:color="000000" w:sz="4" w:val="single"/>
            </w:tcBorders>
            <w:tcMar>
              <w:left w:type="dxa" w:w="75"/>
              <w:right w:type="dxa" w:w="75"/>
            </w:tcMar>
          </w:tcPr>
          <w:p w14:paraId="67010000">
            <w:pPr>
              <w:widowControl w:val="0"/>
              <w:spacing w:after="0" w:line="240" w:lineRule="auto"/>
              <w:ind/>
              <w:jc w:val="both"/>
              <w:rPr>
                <w:rFonts w:ascii="Times New Roman" w:hAnsi="Times New Roman"/>
                <w:sz w:val="24"/>
              </w:rPr>
            </w:pPr>
            <w:r>
              <w:rPr>
                <w:rFonts w:ascii="Times New Roman" w:hAnsi="Times New Roman"/>
                <w:sz w:val="24"/>
              </w:rPr>
              <w:t>Количество педагогических работников, реализующих мероприятия по безопасности жизнедеятельности</w:t>
            </w:r>
          </w:p>
        </w:tc>
        <w:tc>
          <w:tcPr>
            <w:tcW w:type="dxa" w:w="2912"/>
            <w:tcBorders>
              <w:top w:sz="4" w:val="nil"/>
              <w:left w:color="000000" w:sz="4" w:val="single"/>
              <w:bottom w:color="000000" w:sz="4" w:val="single"/>
              <w:right w:color="000000" w:sz="4" w:val="single"/>
            </w:tcBorders>
            <w:tcMar>
              <w:left w:type="dxa" w:w="75"/>
              <w:right w:type="dxa" w:w="75"/>
            </w:tcMar>
          </w:tcPr>
          <w:p w14:paraId="68010000">
            <w:pPr>
              <w:widowControl w:val="0"/>
              <w:spacing w:after="0" w:line="240" w:lineRule="auto"/>
              <w:ind/>
              <w:jc w:val="both"/>
              <w:rPr>
                <w:rFonts w:ascii="Times New Roman" w:hAnsi="Times New Roman"/>
                <w:sz w:val="24"/>
              </w:rPr>
            </w:pPr>
            <w:r>
              <w:rPr>
                <w:rFonts w:ascii="Times New Roman" w:hAnsi="Times New Roman"/>
                <w:sz w:val="24"/>
              </w:rPr>
              <w:t>определяется по данным отчетности, представляемой отделом образования</w:t>
            </w:r>
          </w:p>
        </w:tc>
        <w:tc>
          <w:tcPr>
            <w:tcW w:type="dxa" w:w="1792"/>
            <w:tcBorders>
              <w:top w:sz="4" w:val="nil"/>
              <w:left w:color="000000" w:sz="4" w:val="single"/>
              <w:bottom w:color="000000" w:sz="4" w:val="single"/>
              <w:right w:color="000000" w:sz="4" w:val="single"/>
            </w:tcBorders>
            <w:tcMar>
              <w:left w:type="dxa" w:w="75"/>
              <w:right w:type="dxa" w:w="75"/>
            </w:tcMar>
          </w:tcPr>
          <w:p w14:paraId="69010000">
            <w:pPr>
              <w:spacing w:after="120" w:line="360" w:lineRule="auto"/>
              <w:ind/>
              <w:jc w:val="both"/>
              <w:rPr>
                <w:rFonts w:ascii="Times New Roman" w:hAnsi="Times New Roman"/>
                <w:sz w:val="24"/>
              </w:rPr>
            </w:pPr>
            <w:r>
              <w:rPr>
                <w:rFonts w:ascii="Times New Roman" w:hAnsi="Times New Roman"/>
                <w:sz w:val="24"/>
              </w:rPr>
              <w:t>положительно</w:t>
            </w:r>
          </w:p>
        </w:tc>
      </w:tr>
      <w:tr>
        <w:trPr>
          <w:trHeight w:hRule="atLeast" w:val="391"/>
        </w:trPr>
        <w:tc>
          <w:tcPr>
            <w:tcW w:type="dxa" w:w="1010"/>
            <w:tcBorders>
              <w:top w:sz="4" w:val="nil"/>
              <w:left w:color="000000" w:sz="4" w:val="single"/>
              <w:bottom w:color="000000" w:sz="4" w:val="single"/>
              <w:right w:color="000000" w:sz="4" w:val="single"/>
            </w:tcBorders>
            <w:tcMar>
              <w:left w:type="dxa" w:w="75"/>
              <w:right w:type="dxa" w:w="75"/>
            </w:tcMar>
          </w:tcPr>
          <w:p w14:paraId="6A010000">
            <w:pPr>
              <w:widowControl w:val="0"/>
              <w:spacing w:after="0" w:line="240" w:lineRule="auto"/>
              <w:ind w:right="-75"/>
              <w:jc w:val="both"/>
              <w:rPr>
                <w:rFonts w:ascii="Times New Roman" w:hAnsi="Times New Roman"/>
                <w:sz w:val="24"/>
              </w:rPr>
            </w:pPr>
            <w:r>
              <w:rPr>
                <w:rFonts w:ascii="Times New Roman" w:hAnsi="Times New Roman"/>
                <w:sz w:val="24"/>
              </w:rPr>
              <w:t>3.(2.1.)</w:t>
            </w:r>
          </w:p>
        </w:tc>
        <w:tc>
          <w:tcPr>
            <w:tcW w:type="dxa" w:w="3922"/>
            <w:tcBorders>
              <w:top w:sz="4" w:val="nil"/>
              <w:left w:color="000000" w:sz="4" w:val="single"/>
              <w:bottom w:color="000000" w:sz="4" w:val="single"/>
              <w:right w:color="000000" w:sz="4" w:val="single"/>
            </w:tcBorders>
            <w:tcMar>
              <w:left w:type="dxa" w:w="75"/>
              <w:right w:type="dxa" w:w="75"/>
            </w:tcMar>
          </w:tcPr>
          <w:p w14:paraId="6B010000">
            <w:pPr>
              <w:widowControl w:val="0"/>
              <w:spacing w:line="240" w:lineRule="auto"/>
              <w:ind/>
              <w:jc w:val="both"/>
              <w:rPr>
                <w:rFonts w:ascii="Times New Roman" w:hAnsi="Times New Roman"/>
                <w:sz w:val="24"/>
              </w:rPr>
            </w:pPr>
            <w:r>
              <w:rPr>
                <w:rFonts w:ascii="Times New Roman" w:hAnsi="Times New Roman"/>
                <w:sz w:val="24"/>
              </w:rPr>
              <w:t>Д</w:t>
            </w:r>
            <w:r>
              <w:rPr>
                <w:rFonts w:ascii="Times New Roman" w:hAnsi="Times New Roman"/>
                <w:sz w:val="24"/>
              </w:rPr>
              <w:t>оля учреждений социальной сферы с наличием системы технической защиты объектов</w:t>
            </w:r>
          </w:p>
        </w:tc>
        <w:tc>
          <w:tcPr>
            <w:tcW w:type="dxa" w:w="2912"/>
            <w:tcBorders>
              <w:top w:sz="4" w:val="nil"/>
              <w:left w:color="000000" w:sz="4" w:val="single"/>
              <w:bottom w:color="000000" w:sz="4" w:val="single"/>
              <w:right w:color="000000" w:sz="4" w:val="single"/>
            </w:tcBorders>
            <w:tcMar>
              <w:left w:type="dxa" w:w="75"/>
              <w:right w:type="dxa" w:w="75"/>
            </w:tcMar>
          </w:tcPr>
          <w:p w14:paraId="6C010000">
            <w:pPr>
              <w:widowControl w:val="0"/>
              <w:spacing w:after="0" w:line="240" w:lineRule="auto"/>
              <w:ind/>
              <w:jc w:val="both"/>
              <w:rPr>
                <w:rFonts w:ascii="Times New Roman" w:hAnsi="Times New Roman"/>
                <w:sz w:val="24"/>
              </w:rPr>
            </w:pPr>
          </w:p>
        </w:tc>
        <w:tc>
          <w:tcPr>
            <w:tcW w:type="dxa" w:w="1792"/>
            <w:tcBorders>
              <w:top w:sz="4" w:val="nil"/>
              <w:left w:color="000000" w:sz="4" w:val="single"/>
              <w:bottom w:color="000000" w:sz="4" w:val="single"/>
              <w:right w:color="000000" w:sz="4" w:val="single"/>
            </w:tcBorders>
            <w:tcMar>
              <w:left w:type="dxa" w:w="75"/>
              <w:right w:type="dxa" w:w="75"/>
            </w:tcMar>
          </w:tcPr>
          <w:p w14:paraId="6D010000">
            <w:pPr>
              <w:widowControl w:val="0"/>
              <w:spacing w:after="0" w:line="240" w:lineRule="auto"/>
              <w:ind/>
              <w:jc w:val="both"/>
              <w:rPr>
                <w:rFonts w:ascii="Times New Roman" w:hAnsi="Times New Roman"/>
                <w:sz w:val="24"/>
              </w:rPr>
            </w:pPr>
            <w:r>
              <w:rPr>
                <w:rFonts w:ascii="Times New Roman" w:hAnsi="Times New Roman"/>
                <w:sz w:val="24"/>
              </w:rPr>
              <w:t>положительно</w:t>
            </w:r>
          </w:p>
        </w:tc>
      </w:tr>
      <w:tr>
        <w:trPr>
          <w:trHeight w:hRule="atLeast" w:val="391"/>
        </w:trPr>
        <w:tc>
          <w:tcPr>
            <w:tcW w:type="dxa" w:w="1010"/>
            <w:tcBorders>
              <w:top w:sz="4" w:val="nil"/>
              <w:left w:color="000000" w:sz="4" w:val="single"/>
              <w:bottom w:color="000000" w:sz="4" w:val="single"/>
              <w:right w:color="000000" w:sz="4" w:val="single"/>
            </w:tcBorders>
            <w:tcMar>
              <w:left w:type="dxa" w:w="75"/>
              <w:right w:type="dxa" w:w="75"/>
            </w:tcMar>
          </w:tcPr>
          <w:p w14:paraId="6E010000">
            <w:pPr>
              <w:widowControl w:val="0"/>
              <w:spacing w:after="0" w:line="240" w:lineRule="auto"/>
              <w:ind w:right="-75"/>
              <w:jc w:val="both"/>
              <w:rPr>
                <w:rFonts w:ascii="Times New Roman" w:hAnsi="Times New Roman"/>
                <w:sz w:val="24"/>
              </w:rPr>
            </w:pPr>
            <w:r>
              <w:rPr>
                <w:rFonts w:ascii="Times New Roman" w:hAnsi="Times New Roman"/>
                <w:sz w:val="24"/>
              </w:rPr>
              <w:t>4.(2.2.)</w:t>
            </w:r>
          </w:p>
        </w:tc>
        <w:tc>
          <w:tcPr>
            <w:tcW w:type="dxa" w:w="3922"/>
            <w:tcBorders>
              <w:top w:sz="4" w:val="nil"/>
              <w:left w:color="000000" w:sz="4" w:val="single"/>
              <w:bottom w:color="000000" w:sz="4" w:val="single"/>
              <w:right w:color="000000" w:sz="4" w:val="single"/>
            </w:tcBorders>
            <w:tcMar>
              <w:left w:type="dxa" w:w="75"/>
              <w:right w:type="dxa" w:w="75"/>
            </w:tcMar>
          </w:tcPr>
          <w:p w14:paraId="6F010000">
            <w:pPr>
              <w:widowControl w:val="0"/>
              <w:spacing w:after="0" w:line="240" w:lineRule="auto"/>
              <w:ind/>
              <w:jc w:val="both"/>
              <w:rPr>
                <w:rFonts w:ascii="Times New Roman" w:hAnsi="Times New Roman"/>
                <w:sz w:val="24"/>
              </w:rPr>
            </w:pPr>
            <w:r>
              <w:rPr>
                <w:rFonts w:ascii="Times New Roman" w:hAnsi="Times New Roman"/>
                <w:sz w:val="24"/>
              </w:rPr>
              <w:t>Количество пожаров в жилом секторе и на объектах социальной сферы</w:t>
            </w:r>
          </w:p>
        </w:tc>
        <w:tc>
          <w:tcPr>
            <w:tcW w:type="dxa" w:w="2912"/>
            <w:tcBorders>
              <w:top w:sz="4" w:val="nil"/>
              <w:left w:color="000000" w:sz="4" w:val="single"/>
              <w:bottom w:color="000000" w:sz="4" w:val="single"/>
              <w:right w:color="000000" w:sz="4" w:val="single"/>
            </w:tcBorders>
            <w:tcMar>
              <w:left w:type="dxa" w:w="75"/>
              <w:right w:type="dxa" w:w="75"/>
            </w:tcMar>
          </w:tcPr>
          <w:p w14:paraId="70010000">
            <w:pPr>
              <w:widowControl w:val="0"/>
              <w:spacing w:after="0" w:line="240" w:lineRule="auto"/>
              <w:ind/>
              <w:jc w:val="both"/>
              <w:rPr>
                <w:rFonts w:ascii="Times New Roman" w:hAnsi="Times New Roman"/>
                <w:sz w:val="24"/>
              </w:rPr>
            </w:pPr>
            <w:r>
              <w:rPr>
                <w:rFonts w:ascii="Times New Roman" w:hAnsi="Times New Roman"/>
                <w:sz w:val="24"/>
              </w:rPr>
              <w:t>количество пожаров</w:t>
            </w:r>
          </w:p>
        </w:tc>
        <w:tc>
          <w:tcPr>
            <w:tcW w:type="dxa" w:w="1792"/>
            <w:tcBorders>
              <w:top w:sz="4" w:val="nil"/>
              <w:left w:color="000000" w:sz="4" w:val="single"/>
              <w:bottom w:color="000000" w:sz="4" w:val="single"/>
              <w:right w:color="000000" w:sz="4" w:val="single"/>
            </w:tcBorders>
            <w:tcMar>
              <w:left w:type="dxa" w:w="75"/>
              <w:right w:type="dxa" w:w="75"/>
            </w:tcMar>
          </w:tcPr>
          <w:p w14:paraId="71010000">
            <w:pPr>
              <w:widowControl w:val="0"/>
              <w:spacing w:after="0" w:line="240" w:lineRule="auto"/>
              <w:ind/>
              <w:jc w:val="both"/>
              <w:rPr>
                <w:rFonts w:ascii="Times New Roman" w:hAnsi="Times New Roman"/>
                <w:sz w:val="24"/>
              </w:rPr>
            </w:pPr>
            <w:r>
              <w:rPr>
                <w:rFonts w:ascii="Times New Roman" w:hAnsi="Times New Roman"/>
                <w:sz w:val="24"/>
              </w:rPr>
              <w:t>отрицательно</w:t>
            </w:r>
          </w:p>
        </w:tc>
      </w:tr>
      <w:tr>
        <w:trPr>
          <w:trHeight w:hRule="atLeast" w:val="129"/>
        </w:trPr>
        <w:tc>
          <w:tcPr>
            <w:tcW w:type="dxa" w:w="1010"/>
            <w:tcBorders>
              <w:top w:sz="4" w:val="nil"/>
              <w:left w:color="000000" w:sz="4" w:val="single"/>
              <w:bottom w:color="000000" w:sz="4" w:val="single"/>
              <w:right w:color="000000" w:sz="4" w:val="single"/>
            </w:tcBorders>
            <w:tcMar>
              <w:left w:type="dxa" w:w="75"/>
              <w:right w:type="dxa" w:w="75"/>
            </w:tcMar>
          </w:tcPr>
          <w:p w14:paraId="72010000">
            <w:pPr>
              <w:widowControl w:val="0"/>
              <w:spacing w:after="0" w:line="240" w:lineRule="auto"/>
              <w:ind w:right="-75"/>
              <w:jc w:val="both"/>
              <w:rPr>
                <w:rFonts w:ascii="Times New Roman" w:hAnsi="Times New Roman"/>
                <w:sz w:val="24"/>
              </w:rPr>
            </w:pPr>
            <w:r>
              <w:rPr>
                <w:rFonts w:ascii="Times New Roman" w:hAnsi="Times New Roman"/>
                <w:sz w:val="24"/>
              </w:rPr>
              <w:t>6.(3.3.)</w:t>
            </w:r>
          </w:p>
        </w:tc>
        <w:tc>
          <w:tcPr>
            <w:tcW w:type="dxa" w:w="3922"/>
            <w:tcBorders>
              <w:top w:sz="4" w:val="nil"/>
              <w:left w:color="000000" w:sz="4" w:val="single"/>
              <w:bottom w:color="000000" w:sz="4" w:val="single"/>
              <w:right w:color="000000" w:sz="4" w:val="single"/>
            </w:tcBorders>
            <w:tcMar>
              <w:left w:type="dxa" w:w="75"/>
              <w:right w:type="dxa" w:w="75"/>
            </w:tcMar>
          </w:tcPr>
          <w:p w14:paraId="73010000">
            <w:pPr>
              <w:widowControl w:val="0"/>
              <w:spacing w:after="0" w:line="240" w:lineRule="auto"/>
              <w:ind/>
              <w:jc w:val="both"/>
              <w:rPr>
                <w:rFonts w:ascii="Times New Roman" w:hAnsi="Times New Roman"/>
                <w:sz w:val="24"/>
              </w:rPr>
            </w:pPr>
            <w:r>
              <w:rPr>
                <w:rFonts w:ascii="Times New Roman" w:hAnsi="Times New Roman"/>
                <w:sz w:val="24"/>
              </w:rPr>
              <w:t>У</w:t>
            </w:r>
            <w:r>
              <w:rPr>
                <w:rFonts w:ascii="Times New Roman" w:hAnsi="Times New Roman"/>
                <w:sz w:val="24"/>
              </w:rPr>
              <w:t>дельный вес населения, постоянно принимающего участие в предупреждении чрезвычайных ситуаций</w:t>
            </w:r>
          </w:p>
        </w:tc>
        <w:tc>
          <w:tcPr>
            <w:tcW w:type="dxa" w:w="2912"/>
            <w:tcBorders>
              <w:top w:sz="4" w:val="nil"/>
              <w:left w:color="000000" w:sz="4" w:val="single"/>
              <w:bottom w:color="000000" w:sz="4" w:val="single"/>
              <w:right w:color="000000" w:sz="4" w:val="single"/>
            </w:tcBorders>
            <w:tcMar>
              <w:left w:type="dxa" w:w="75"/>
              <w:right w:type="dxa" w:w="75"/>
            </w:tcMar>
          </w:tcPr>
          <w:p w14:paraId="74010000">
            <w:pPr>
              <w:spacing w:line="240" w:lineRule="auto"/>
              <w:ind/>
              <w:jc w:val="both"/>
              <w:rPr>
                <w:rFonts w:ascii="Times New Roman" w:hAnsi="Times New Roman"/>
                <w:sz w:val="24"/>
              </w:rPr>
            </w:pPr>
            <w:r>
              <w:rPr>
                <w:rFonts w:ascii="Times New Roman" w:hAnsi="Times New Roman"/>
                <w:sz w:val="24"/>
              </w:rPr>
              <w:t>число лиц, постоянно принимающих участие в предупреждении ЧС / численность населения Фатежского района х 100 процентов</w:t>
            </w:r>
          </w:p>
        </w:tc>
        <w:tc>
          <w:tcPr>
            <w:tcW w:type="dxa" w:w="1792"/>
            <w:tcBorders>
              <w:top w:sz="4" w:val="nil"/>
              <w:left w:color="000000" w:sz="4" w:val="single"/>
              <w:bottom w:color="000000" w:sz="4" w:val="single"/>
              <w:right w:color="000000" w:sz="4" w:val="single"/>
            </w:tcBorders>
            <w:tcMar>
              <w:left w:type="dxa" w:w="75"/>
              <w:right w:type="dxa" w:w="75"/>
            </w:tcMar>
          </w:tcPr>
          <w:p w14:paraId="75010000">
            <w:pPr>
              <w:widowControl w:val="0"/>
              <w:spacing w:after="0" w:line="240" w:lineRule="auto"/>
              <w:ind/>
              <w:jc w:val="both"/>
              <w:rPr>
                <w:rFonts w:ascii="Times New Roman" w:hAnsi="Times New Roman"/>
                <w:sz w:val="24"/>
              </w:rPr>
            </w:pPr>
            <w:r>
              <w:rPr>
                <w:rFonts w:ascii="Times New Roman" w:hAnsi="Times New Roman"/>
                <w:sz w:val="24"/>
              </w:rPr>
              <w:t>положительно</w:t>
            </w:r>
          </w:p>
        </w:tc>
      </w:tr>
      <w:tr>
        <w:trPr>
          <w:trHeight w:hRule="atLeast" w:val="783"/>
        </w:trPr>
        <w:tc>
          <w:tcPr>
            <w:tcW w:type="dxa" w:w="1010"/>
            <w:tcBorders>
              <w:top w:color="000000" w:sz="4" w:val="single"/>
              <w:left w:color="000000" w:sz="4" w:val="single"/>
              <w:bottom w:color="000000" w:sz="4" w:val="single"/>
              <w:right w:color="000000" w:sz="4" w:val="single"/>
            </w:tcBorders>
            <w:tcMar>
              <w:left w:type="dxa" w:w="75"/>
              <w:right w:type="dxa" w:w="75"/>
            </w:tcMar>
          </w:tcPr>
          <w:p w14:paraId="76010000">
            <w:pPr>
              <w:widowControl w:val="0"/>
              <w:spacing w:after="0" w:line="240" w:lineRule="auto"/>
              <w:ind w:right="-75"/>
              <w:jc w:val="both"/>
              <w:rPr>
                <w:rFonts w:ascii="Times New Roman" w:hAnsi="Times New Roman"/>
                <w:sz w:val="24"/>
              </w:rPr>
            </w:pPr>
            <w:r>
              <w:rPr>
                <w:rFonts w:ascii="Times New Roman" w:hAnsi="Times New Roman"/>
                <w:sz w:val="24"/>
              </w:rPr>
              <w:t>7.(3.4.)</w:t>
            </w:r>
          </w:p>
        </w:tc>
        <w:tc>
          <w:tcPr>
            <w:tcW w:type="dxa" w:w="3922"/>
            <w:tcBorders>
              <w:top w:color="000000" w:sz="4" w:val="single"/>
              <w:left w:color="000000" w:sz="4" w:val="single"/>
              <w:bottom w:color="000000" w:sz="4" w:val="single"/>
              <w:right w:color="000000" w:sz="4" w:val="single"/>
            </w:tcBorders>
            <w:tcMar>
              <w:left w:type="dxa" w:w="75"/>
              <w:right w:type="dxa" w:w="75"/>
            </w:tcMar>
          </w:tcPr>
          <w:p w14:paraId="77010000">
            <w:pPr>
              <w:widowControl w:val="0"/>
              <w:spacing w:after="0" w:line="240" w:lineRule="auto"/>
              <w:ind/>
              <w:jc w:val="both"/>
              <w:rPr>
                <w:rFonts w:ascii="Times New Roman" w:hAnsi="Times New Roman"/>
                <w:sz w:val="24"/>
              </w:rPr>
            </w:pPr>
            <w:r>
              <w:rPr>
                <w:rFonts w:ascii="Times New Roman" w:hAnsi="Times New Roman"/>
                <w:sz w:val="24"/>
              </w:rPr>
              <w:t>Д</w:t>
            </w:r>
            <w:r>
              <w:rPr>
                <w:rFonts w:ascii="Times New Roman" w:hAnsi="Times New Roman"/>
                <w:sz w:val="24"/>
              </w:rPr>
              <w:t>оля обучающихся и населения, прошедших обучение по образовательным программам профилактической направленности</w:t>
            </w:r>
          </w:p>
        </w:tc>
        <w:tc>
          <w:tcPr>
            <w:tcW w:type="dxa" w:w="2912"/>
            <w:tcBorders>
              <w:top w:color="000000" w:sz="4" w:val="single"/>
              <w:left w:color="000000" w:sz="4" w:val="single"/>
              <w:bottom w:color="000000" w:sz="4" w:val="single"/>
              <w:right w:color="000000" w:sz="4" w:val="single"/>
            </w:tcBorders>
            <w:tcMar>
              <w:left w:type="dxa" w:w="75"/>
              <w:right w:type="dxa" w:w="75"/>
            </w:tcMar>
          </w:tcPr>
          <w:p w14:paraId="78010000">
            <w:pPr>
              <w:spacing w:after="0" w:line="240" w:lineRule="auto"/>
              <w:ind/>
              <w:jc w:val="both"/>
              <w:rPr>
                <w:rFonts w:ascii="Times New Roman" w:hAnsi="Times New Roman"/>
                <w:sz w:val="24"/>
              </w:rPr>
            </w:pPr>
            <w:r>
              <w:rPr>
                <w:rFonts w:ascii="Times New Roman" w:hAnsi="Times New Roman"/>
                <w:sz w:val="24"/>
              </w:rPr>
              <w:t>число обучающихся и населения, прошедших обучение по образовательным программам профилактической направленности / общее число обучающихся и населения в Фатежского районе</w:t>
            </w:r>
          </w:p>
          <w:p w14:paraId="79010000">
            <w:pPr>
              <w:spacing w:line="240" w:lineRule="auto"/>
              <w:ind/>
              <w:jc w:val="both"/>
              <w:rPr>
                <w:rFonts w:ascii="Times New Roman" w:hAnsi="Times New Roman"/>
                <w:sz w:val="24"/>
              </w:rPr>
            </w:pPr>
            <w:r>
              <w:rPr>
                <w:rFonts w:ascii="Times New Roman" w:hAnsi="Times New Roman"/>
                <w:sz w:val="24"/>
              </w:rPr>
              <w:t>х 100 процентов</w:t>
            </w:r>
          </w:p>
        </w:tc>
        <w:tc>
          <w:tcPr>
            <w:tcW w:type="dxa" w:w="1792"/>
            <w:tcBorders>
              <w:top w:color="000000" w:sz="4" w:val="single"/>
              <w:left w:color="000000" w:sz="4" w:val="single"/>
              <w:bottom w:color="000000" w:sz="4" w:val="single"/>
              <w:right w:color="000000" w:sz="4" w:val="single"/>
            </w:tcBorders>
            <w:tcMar>
              <w:left w:type="dxa" w:w="75"/>
              <w:right w:type="dxa" w:w="75"/>
            </w:tcMar>
          </w:tcPr>
          <w:p w14:paraId="7A010000">
            <w:pPr>
              <w:widowControl w:val="0"/>
              <w:spacing w:after="0" w:line="240" w:lineRule="auto"/>
              <w:ind/>
              <w:jc w:val="both"/>
              <w:rPr>
                <w:rFonts w:ascii="Times New Roman" w:hAnsi="Times New Roman"/>
                <w:sz w:val="24"/>
              </w:rPr>
            </w:pPr>
            <w:r>
              <w:rPr>
                <w:rFonts w:ascii="Times New Roman" w:hAnsi="Times New Roman"/>
                <w:sz w:val="24"/>
              </w:rPr>
              <w:t>положительно</w:t>
            </w:r>
          </w:p>
        </w:tc>
      </w:tr>
    </w:tbl>
    <w:p w14:paraId="7B010000">
      <w:pPr>
        <w:spacing w:after="0"/>
        <w:ind/>
        <w:rPr>
          <w:rFonts w:ascii="Times New Roman" w:hAnsi="Times New Roman"/>
          <w:sz w:val="24"/>
        </w:rPr>
      </w:pPr>
    </w:p>
    <w:p w14:paraId="7C010000">
      <w:pPr>
        <w:widowControl w:val="0"/>
        <w:spacing w:after="0" w:line="240" w:lineRule="auto"/>
        <w:ind w:firstLine="709" w:left="0"/>
        <w:jc w:val="both"/>
        <w:rPr>
          <w:rFonts w:ascii="Times New Roman" w:hAnsi="Times New Roman"/>
          <w:sz w:val="24"/>
        </w:rPr>
      </w:pPr>
      <w:r>
        <w:rPr>
          <w:rFonts w:ascii="Times New Roman" w:hAnsi="Times New Roman"/>
          <w:sz w:val="24"/>
        </w:rPr>
        <w:t>Степень достижения запланированного значения показателя Муниципальной программы оценивается показателем результативности (Р), определяемым следующим образом. Если фактическое значение показателя равно плановому (отклонение составляет не более 1% от запланированного значения показателя), то Р = 1,0.</w:t>
      </w:r>
    </w:p>
    <w:p w14:paraId="7D010000">
      <w:pPr>
        <w:widowControl w:val="0"/>
        <w:spacing w:after="0" w:line="240" w:lineRule="auto"/>
        <w:ind w:firstLine="709" w:left="0"/>
        <w:jc w:val="both"/>
        <w:rPr>
          <w:rFonts w:ascii="Times New Roman" w:hAnsi="Times New Roman"/>
          <w:sz w:val="24"/>
        </w:rPr>
      </w:pPr>
      <w:r>
        <w:rPr>
          <w:rFonts w:ascii="Times New Roman" w:hAnsi="Times New Roman"/>
          <w:sz w:val="24"/>
        </w:rPr>
        <w:t>Учитывая специфику реализации Муниципальной программы и множества факторов, влияющих на уровень достижения показателей, большинство из которых находится вне сферы регулирования участников Муниципальной программы, перевыполнение запланированных показателей не может рассматриваться как следствие некорректного планирования и оценивается более высоко, чем выполнение. В этой связи если фактическое значение показателя лучше планового, то Р = 1,1.</w:t>
      </w:r>
    </w:p>
    <w:p w14:paraId="7E010000">
      <w:pPr>
        <w:widowControl w:val="0"/>
        <w:spacing w:after="0" w:line="240" w:lineRule="auto"/>
        <w:ind w:firstLine="709" w:left="0"/>
        <w:jc w:val="both"/>
        <w:rPr>
          <w:rFonts w:ascii="Times New Roman" w:hAnsi="Times New Roman"/>
          <w:sz w:val="24"/>
        </w:rPr>
      </w:pPr>
      <w:r>
        <w:rPr>
          <w:rFonts w:ascii="Times New Roman" w:hAnsi="Times New Roman"/>
          <w:sz w:val="24"/>
        </w:rPr>
        <w:t>Если фактическое значение показателя хуже планового, отсутствует положительная динамика показателя по отношению к значению предыдущего года, но отклонение составляет не более 10 процентов от запланированного значения показателя, то Р = 0,6. Если фактическое значение показателя хуже планового, но имеется положительная динамика показателя по отношению к значению предыдущего года, то Р = 0,9.</w:t>
      </w:r>
    </w:p>
    <w:p w14:paraId="7F010000">
      <w:pPr>
        <w:widowControl w:val="0"/>
        <w:spacing w:after="0" w:line="240" w:lineRule="auto"/>
        <w:ind w:firstLine="709" w:left="0"/>
        <w:jc w:val="both"/>
        <w:rPr>
          <w:rFonts w:ascii="Times New Roman" w:hAnsi="Times New Roman"/>
          <w:sz w:val="24"/>
        </w:rPr>
      </w:pPr>
      <w:r>
        <w:rPr>
          <w:rFonts w:ascii="Times New Roman" w:hAnsi="Times New Roman"/>
          <w:sz w:val="24"/>
        </w:rPr>
        <w:t>Если фактическое значение показателя хуже планового, отсутствует положительная динамика показателя по отношению к значению предыдущего года и отклонение составляет более 10 процентов от запланированного значения показателя, то Р = 0,4. Если фактическое значение показателя хуже планового, но имеется положительная динамика показателя по отношению к значению предыдущего года, то Р = 0,6.</w:t>
      </w:r>
    </w:p>
    <w:p w14:paraId="80010000">
      <w:pPr>
        <w:widowControl w:val="0"/>
        <w:spacing w:after="0" w:line="240" w:lineRule="auto"/>
        <w:ind w:firstLine="709" w:left="0"/>
        <w:jc w:val="both"/>
        <w:rPr>
          <w:rFonts w:ascii="Times New Roman" w:hAnsi="Times New Roman"/>
          <w:sz w:val="24"/>
        </w:rPr>
      </w:pPr>
      <w:r>
        <w:rPr>
          <w:rFonts w:ascii="Times New Roman" w:hAnsi="Times New Roman"/>
          <w:sz w:val="24"/>
        </w:rPr>
        <w:t>Интегральный показатель результативности выполнения Муниципальной программы рассчитывается по формуле:</w:t>
      </w:r>
    </w:p>
    <w:p w14:paraId="81010000">
      <w:pPr>
        <w:widowControl w:val="0"/>
        <w:spacing w:after="0" w:line="240" w:lineRule="auto"/>
        <w:ind w:firstLine="709" w:left="0"/>
        <w:jc w:val="both"/>
        <w:rPr>
          <w:rFonts w:ascii="Times New Roman" w:hAnsi="Times New Roman"/>
          <w:sz w:val="24"/>
        </w:rPr>
      </w:pPr>
      <w:r>
        <w:rPr>
          <w:rFonts w:ascii="Times New Roman" w:hAnsi="Times New Roman"/>
          <w:sz w:val="24"/>
        </w:rPr>
        <w:t>N</w:t>
      </w:r>
    </w:p>
    <w:p w14:paraId="82010000">
      <w:pPr>
        <w:spacing w:after="0" w:line="240" w:lineRule="auto"/>
        <w:ind w:firstLine="709" w:left="0"/>
        <w:rPr>
          <w:rFonts w:ascii="Times New Roman" w:hAnsi="Times New Roman"/>
          <w:sz w:val="24"/>
        </w:rPr>
      </w:pPr>
      <w:r>
        <w:rPr>
          <w:rFonts w:ascii="Times New Roman" w:hAnsi="Times New Roman"/>
          <w:sz w:val="24"/>
        </w:rPr>
        <w:t xml:space="preserve">И = (∑ </w:t>
      </w:r>
      <w:r>
        <w:rPr>
          <w:rFonts w:ascii="Times New Roman" w:hAnsi="Times New Roman"/>
          <w:sz w:val="24"/>
        </w:rPr>
        <w:t>P</w:t>
      </w:r>
      <w:r>
        <w:rPr>
          <w:rFonts w:ascii="Times New Roman" w:hAnsi="Times New Roman"/>
          <w:sz w:val="24"/>
          <w:vertAlign w:val="subscript"/>
        </w:rPr>
        <w:t>i</w:t>
      </w:r>
      <w:r>
        <w:rPr>
          <w:rFonts w:ascii="Times New Roman" w:hAnsi="Times New Roman"/>
          <w:sz w:val="24"/>
        </w:rPr>
        <w:t>) / N</w:t>
      </w:r>
    </w:p>
    <w:p w14:paraId="83010000">
      <w:pPr>
        <w:widowControl w:val="0"/>
        <w:spacing w:after="0" w:line="240" w:lineRule="auto"/>
        <w:ind w:firstLine="709" w:left="0"/>
        <w:jc w:val="both"/>
        <w:rPr>
          <w:rFonts w:ascii="Times New Roman" w:hAnsi="Times New Roman"/>
          <w:sz w:val="24"/>
        </w:rPr>
      </w:pPr>
      <w:r>
        <w:rPr>
          <w:rFonts w:ascii="Times New Roman" w:hAnsi="Times New Roman"/>
          <w:sz w:val="24"/>
        </w:rPr>
        <w:t>i=1</w:t>
      </w:r>
    </w:p>
    <w:p w14:paraId="84010000">
      <w:pPr>
        <w:widowControl w:val="0"/>
        <w:spacing w:after="0" w:line="240" w:lineRule="auto"/>
        <w:ind w:firstLine="709" w:left="0"/>
        <w:jc w:val="both"/>
        <w:rPr>
          <w:rFonts w:ascii="Times New Roman" w:hAnsi="Times New Roman"/>
          <w:sz w:val="24"/>
        </w:rPr>
      </w:pPr>
      <w:r>
        <w:rPr>
          <w:rFonts w:ascii="Times New Roman" w:hAnsi="Times New Roman"/>
          <w:sz w:val="24"/>
        </w:rPr>
        <w:t>где:</w:t>
      </w:r>
    </w:p>
    <w:p w14:paraId="85010000">
      <w:pPr>
        <w:widowControl w:val="0"/>
        <w:spacing w:after="0" w:line="240" w:lineRule="auto"/>
        <w:ind w:firstLine="709" w:left="0"/>
        <w:jc w:val="both"/>
        <w:rPr>
          <w:rFonts w:ascii="Times New Roman" w:hAnsi="Times New Roman"/>
          <w:sz w:val="24"/>
        </w:rPr>
      </w:pPr>
      <w:r>
        <w:rPr>
          <w:rFonts w:ascii="Times New Roman" w:hAnsi="Times New Roman"/>
          <w:sz w:val="24"/>
        </w:rPr>
        <w:t>N - количество показателей;</w:t>
      </w:r>
    </w:p>
    <w:p w14:paraId="86010000">
      <w:pPr>
        <w:widowControl w:val="0"/>
        <w:spacing w:after="0" w:line="240" w:lineRule="auto"/>
        <w:ind w:firstLine="709" w:left="0"/>
        <w:jc w:val="both"/>
        <w:rPr>
          <w:rFonts w:ascii="Times New Roman" w:hAnsi="Times New Roman"/>
          <w:sz w:val="24"/>
        </w:rPr>
      </w:pPr>
      <w:r>
        <w:rPr>
          <w:rFonts w:ascii="Times New Roman" w:hAnsi="Times New Roman"/>
          <w:sz w:val="24"/>
        </w:rPr>
        <w:t>i - порядковый номер показателя.</w:t>
      </w:r>
    </w:p>
    <w:p w14:paraId="87010000">
      <w:pPr>
        <w:widowControl w:val="0"/>
        <w:spacing w:after="0" w:line="240" w:lineRule="auto"/>
        <w:ind w:firstLine="709" w:left="0"/>
        <w:jc w:val="both"/>
        <w:rPr>
          <w:rFonts w:ascii="Times New Roman" w:hAnsi="Times New Roman"/>
          <w:sz w:val="24"/>
        </w:rPr>
      </w:pPr>
      <w:r>
        <w:rPr>
          <w:rFonts w:ascii="Times New Roman" w:hAnsi="Times New Roman"/>
          <w:sz w:val="24"/>
        </w:rPr>
        <w:t>Результативность программы оценивается:</w:t>
      </w:r>
    </w:p>
    <w:p w14:paraId="88010000">
      <w:pPr>
        <w:widowControl w:val="0"/>
        <w:spacing w:after="0" w:line="240" w:lineRule="auto"/>
        <w:ind w:firstLine="709" w:left="0"/>
        <w:jc w:val="both"/>
        <w:rPr>
          <w:rFonts w:ascii="Times New Roman" w:hAnsi="Times New Roman"/>
          <w:sz w:val="24"/>
        </w:rPr>
      </w:pPr>
      <w:r>
        <w:rPr>
          <w:rFonts w:ascii="Times New Roman" w:hAnsi="Times New Roman"/>
          <w:sz w:val="24"/>
        </w:rPr>
        <w:t>как высокая, если И&gt; 0,9;</w:t>
      </w:r>
    </w:p>
    <w:p w14:paraId="89010000">
      <w:pPr>
        <w:widowControl w:val="0"/>
        <w:spacing w:after="0" w:line="240" w:lineRule="auto"/>
        <w:ind w:firstLine="709" w:left="0"/>
        <w:jc w:val="both"/>
        <w:rPr>
          <w:rFonts w:ascii="Times New Roman" w:hAnsi="Times New Roman"/>
          <w:sz w:val="24"/>
        </w:rPr>
      </w:pPr>
      <w:r>
        <w:rPr>
          <w:rFonts w:ascii="Times New Roman" w:hAnsi="Times New Roman"/>
          <w:sz w:val="24"/>
        </w:rPr>
        <w:t>как удовлетворительная, если 0,9</w:t>
      </w:r>
      <w:r>
        <w:rPr>
          <w:rFonts w:ascii="Times New Roman" w:hAnsi="Times New Roman"/>
          <w:sz w:val="24"/>
        </w:rPr>
        <w:drawing>
          <wp:inline>
            <wp:extent cx="115062" cy="114045"/>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115062" cy="114045"/>
                    </a:xfrm>
                    <a:prstGeom prst="rect"/>
                  </pic:spPr>
                </pic:pic>
              </a:graphicData>
            </a:graphic>
          </wp:inline>
        </w:drawing>
      </w:r>
      <w:r>
        <w:rPr>
          <w:rFonts w:ascii="Times New Roman" w:hAnsi="Times New Roman"/>
          <w:sz w:val="24"/>
        </w:rPr>
        <w:t xml:space="preserve"> И</w:t>
      </w:r>
      <w:r>
        <w:rPr>
          <w:rFonts w:ascii="Times New Roman" w:hAnsi="Times New Roman"/>
          <w:sz w:val="24"/>
        </w:rPr>
        <w:drawing>
          <wp:inline>
            <wp:extent cx="115062" cy="114045"/>
            <wp:effectExtent b="0" l="0" r="0" t="0"/>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115062" cy="114045"/>
                    </a:xfrm>
                    <a:prstGeom prst="rect"/>
                  </pic:spPr>
                </pic:pic>
              </a:graphicData>
            </a:graphic>
          </wp:inline>
        </w:drawing>
      </w:r>
      <w:r>
        <w:rPr>
          <w:rFonts w:ascii="Times New Roman" w:hAnsi="Times New Roman"/>
          <w:sz w:val="24"/>
        </w:rPr>
        <w:t xml:space="preserve"> 0,7;</w:t>
      </w:r>
    </w:p>
    <w:p w14:paraId="8A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как неудовлетворительная, если </w:t>
      </w:r>
      <w:r>
        <w:rPr>
          <w:rFonts w:ascii="Times New Roman" w:hAnsi="Times New Roman"/>
          <w:sz w:val="24"/>
        </w:rPr>
        <w:t>И&lt; 0</w:t>
      </w:r>
      <w:r>
        <w:rPr>
          <w:rFonts w:ascii="Times New Roman" w:hAnsi="Times New Roman"/>
          <w:sz w:val="24"/>
        </w:rPr>
        <w:t>,7.</w:t>
      </w:r>
    </w:p>
    <w:p w14:paraId="8B010000">
      <w:pPr>
        <w:widowControl w:val="0"/>
        <w:spacing w:after="0" w:line="240" w:lineRule="auto"/>
        <w:ind w:firstLine="709" w:left="0"/>
        <w:jc w:val="both"/>
        <w:rPr>
          <w:rFonts w:ascii="Times New Roman" w:hAnsi="Times New Roman"/>
          <w:sz w:val="24"/>
        </w:rPr>
      </w:pPr>
      <w:r>
        <w:rPr>
          <w:rFonts w:ascii="Times New Roman" w:hAnsi="Times New Roman"/>
          <w:sz w:val="24"/>
        </w:rPr>
        <w:t>Полученная по приведенной выше методике информация о ходе и промежуточных результатах реализации Муниципальной программы носит обобщенный характер. При этом данная информация является результатом расчета, а не отражением итогового состояния. Она может быть недостаточно достоверна вследствие наличия временных лагов, накопленных результатов реализации предыдущих решений, влияния действий других субъектов и иных факторов.</w:t>
      </w:r>
    </w:p>
    <w:p w14:paraId="8C010000">
      <w:pPr>
        <w:widowControl w:val="0"/>
        <w:spacing w:after="0" w:line="240" w:lineRule="auto"/>
        <w:ind w:firstLine="709" w:left="0"/>
        <w:jc w:val="both"/>
        <w:rPr>
          <w:rFonts w:ascii="Times New Roman" w:hAnsi="Times New Roman"/>
          <w:sz w:val="24"/>
        </w:rPr>
      </w:pPr>
      <w:r>
        <w:rPr>
          <w:rFonts w:ascii="Times New Roman" w:hAnsi="Times New Roman"/>
          <w:sz w:val="24"/>
        </w:rPr>
        <w:t>В этой связи «неудовлетворительный» результат оценки, проведенной по указанной формализованной методике, подлежит обязательной дополнительной проверке в рамках экспертной оценки, в ходе которой производится глубокий анализ причин отклонения достигнутых в отчетном периоде значений показателей от плановых.</w:t>
      </w:r>
    </w:p>
    <w:p w14:paraId="8D010000">
      <w:pPr>
        <w:widowControl w:val="0"/>
        <w:spacing w:after="0" w:line="240" w:lineRule="auto"/>
        <w:ind w:firstLine="709" w:left="0"/>
        <w:jc w:val="both"/>
        <w:rPr>
          <w:rFonts w:ascii="Times New Roman" w:hAnsi="Times New Roman"/>
          <w:sz w:val="24"/>
        </w:rPr>
      </w:pPr>
      <w:r>
        <w:rPr>
          <w:rFonts w:ascii="Times New Roman" w:hAnsi="Times New Roman"/>
          <w:sz w:val="24"/>
        </w:rPr>
        <w:t>По итогам экспертной оценки вывод о результативности Муниципальной программы может быть изменен.</w:t>
      </w:r>
    </w:p>
    <w:p w14:paraId="8E010000">
      <w:pPr>
        <w:widowControl w:val="0"/>
        <w:spacing w:after="0" w:line="240" w:lineRule="auto"/>
        <w:ind w:firstLine="709" w:left="0"/>
        <w:jc w:val="both"/>
        <w:rPr>
          <w:rFonts w:ascii="Times New Roman" w:hAnsi="Times New Roman"/>
          <w:sz w:val="24"/>
        </w:rPr>
      </w:pPr>
      <w:r>
        <w:rPr>
          <w:rFonts w:ascii="Times New Roman" w:hAnsi="Times New Roman"/>
          <w:sz w:val="24"/>
        </w:rPr>
        <w:t>Степень достижения запланированного уровня затрат оценивается путем сопоставления фактически произведенных затрат на реализацию Муниципальной программы (подпрограммы) в отчетном году с их плановыми значениями.</w:t>
      </w:r>
    </w:p>
    <w:p w14:paraId="8F010000">
      <w:pPr>
        <w:widowControl w:val="0"/>
        <w:spacing w:after="0" w:line="240" w:lineRule="auto"/>
        <w:ind w:firstLine="709" w:left="0"/>
        <w:jc w:val="both"/>
        <w:rPr>
          <w:rFonts w:ascii="Times New Roman" w:hAnsi="Times New Roman"/>
          <w:sz w:val="24"/>
        </w:rPr>
      </w:pPr>
      <w:r>
        <w:rPr>
          <w:rFonts w:ascii="Times New Roman" w:hAnsi="Times New Roman"/>
          <w:sz w:val="24"/>
        </w:rPr>
        <w:t>В ходе оценки проводится анализ размеров и причин возникновения экономии бюджетных ассигнований, предусмотренных на реализацию Муниципальной программы и подпрограмм, а также перераспределения бюджетных ассигнований между мероприятиями Муниципальной программы (подпрограмм).</w:t>
      </w:r>
    </w:p>
    <w:p w14:paraId="90010000">
      <w:pPr>
        <w:widowControl w:val="0"/>
        <w:spacing w:after="0" w:line="240" w:lineRule="auto"/>
        <w:ind w:firstLine="709" w:left="0"/>
        <w:jc w:val="both"/>
        <w:rPr>
          <w:rFonts w:ascii="Times New Roman" w:hAnsi="Times New Roman"/>
          <w:sz w:val="24"/>
        </w:rPr>
      </w:pPr>
      <w:r>
        <w:rPr>
          <w:rFonts w:ascii="Times New Roman" w:hAnsi="Times New Roman"/>
          <w:sz w:val="24"/>
        </w:rPr>
        <w:t>По итогам оценки делается вывод о признании организации распределения и расходования бюджетных средств, предусмотренных на реализацию Муниципальной программы:</w:t>
      </w:r>
    </w:p>
    <w:p w14:paraId="91010000">
      <w:pPr>
        <w:widowControl w:val="0"/>
        <w:spacing w:after="0" w:line="240" w:lineRule="auto"/>
        <w:ind w:firstLine="709" w:left="0"/>
        <w:jc w:val="both"/>
        <w:rPr>
          <w:rFonts w:ascii="Times New Roman" w:hAnsi="Times New Roman"/>
          <w:sz w:val="24"/>
        </w:rPr>
      </w:pPr>
      <w:r>
        <w:rPr>
          <w:rFonts w:ascii="Times New Roman" w:hAnsi="Times New Roman"/>
          <w:sz w:val="24"/>
        </w:rPr>
        <w:t>эффективной;</w:t>
      </w:r>
    </w:p>
    <w:p w14:paraId="92010000">
      <w:pPr>
        <w:widowControl w:val="0"/>
        <w:spacing w:after="0" w:line="240" w:lineRule="auto"/>
        <w:ind w:firstLine="709" w:left="0"/>
        <w:jc w:val="both"/>
        <w:rPr>
          <w:rFonts w:ascii="Times New Roman" w:hAnsi="Times New Roman"/>
          <w:sz w:val="24"/>
        </w:rPr>
      </w:pPr>
      <w:r>
        <w:rPr>
          <w:rFonts w:ascii="Times New Roman" w:hAnsi="Times New Roman"/>
          <w:sz w:val="24"/>
        </w:rPr>
        <w:t>в целом эффективной;</w:t>
      </w:r>
    </w:p>
    <w:p w14:paraId="93010000">
      <w:pPr>
        <w:widowControl w:val="0"/>
        <w:spacing w:after="0" w:line="240" w:lineRule="auto"/>
        <w:ind w:firstLine="709" w:left="0"/>
        <w:jc w:val="both"/>
        <w:rPr>
          <w:rFonts w:ascii="Times New Roman" w:hAnsi="Times New Roman"/>
          <w:sz w:val="24"/>
        </w:rPr>
      </w:pPr>
      <w:r>
        <w:rPr>
          <w:rFonts w:ascii="Times New Roman" w:hAnsi="Times New Roman"/>
          <w:sz w:val="24"/>
        </w:rPr>
        <w:t>неэффективной.</w:t>
      </w:r>
    </w:p>
    <w:p w14:paraId="94010000">
      <w:pPr>
        <w:widowControl w:val="0"/>
        <w:spacing w:after="0" w:line="240" w:lineRule="auto"/>
        <w:ind w:firstLine="709" w:left="0"/>
        <w:jc w:val="both"/>
        <w:rPr>
          <w:rFonts w:ascii="Times New Roman" w:hAnsi="Times New Roman"/>
          <w:sz w:val="24"/>
        </w:rPr>
      </w:pPr>
      <w:r>
        <w:rPr>
          <w:rFonts w:ascii="Times New Roman" w:hAnsi="Times New Roman"/>
          <w:sz w:val="24"/>
        </w:rPr>
        <w:t>При оценке исполнения плана по реализации Муниципальной программы проводится сравнение:</w:t>
      </w:r>
    </w:p>
    <w:p w14:paraId="95010000">
      <w:pPr>
        <w:widowControl w:val="0"/>
        <w:spacing w:after="0" w:line="240" w:lineRule="auto"/>
        <w:ind w:firstLine="709" w:left="0"/>
        <w:jc w:val="both"/>
        <w:rPr>
          <w:rFonts w:ascii="Times New Roman" w:hAnsi="Times New Roman"/>
          <w:sz w:val="24"/>
        </w:rPr>
      </w:pPr>
      <w:r>
        <w:rPr>
          <w:rFonts w:ascii="Times New Roman" w:hAnsi="Times New Roman"/>
          <w:sz w:val="24"/>
        </w:rPr>
        <w:t>фактических сроков реализации мероприятий плана с запланированными;</w:t>
      </w:r>
    </w:p>
    <w:p w14:paraId="96010000">
      <w:pPr>
        <w:widowControl w:val="0"/>
        <w:spacing w:after="0" w:line="240" w:lineRule="auto"/>
        <w:ind w:firstLine="709" w:left="0"/>
        <w:jc w:val="both"/>
        <w:rPr>
          <w:rFonts w:ascii="Times New Roman" w:hAnsi="Times New Roman"/>
          <w:sz w:val="24"/>
        </w:rPr>
      </w:pPr>
      <w:r>
        <w:rPr>
          <w:rFonts w:ascii="Times New Roman" w:hAnsi="Times New Roman"/>
          <w:sz w:val="24"/>
        </w:rPr>
        <w:t>фактически полученных результатов с ожидаемыми.</w:t>
      </w:r>
    </w:p>
    <w:p w14:paraId="9701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Оценка осуществляется как в целом по Муниципальной программе, так и по каждой из </w:t>
      </w:r>
      <w:r>
        <w:rPr>
          <w:rFonts w:ascii="Times New Roman" w:hAnsi="Times New Roman"/>
          <w:sz w:val="24"/>
        </w:rPr>
        <w:t>подпрограмм. При реализации в установленные сроки не менее 90 процентов запланированных мероприятий и получении не менее 90 процентов ожидаемых результатов степень исполнения плана признается высокой.</w:t>
      </w:r>
    </w:p>
    <w:p w14:paraId="98010000">
      <w:pPr>
        <w:widowControl w:val="0"/>
        <w:spacing w:after="0" w:line="240" w:lineRule="auto"/>
        <w:ind w:firstLine="709" w:left="0"/>
        <w:jc w:val="both"/>
        <w:rPr>
          <w:rFonts w:ascii="Times New Roman" w:hAnsi="Times New Roman"/>
          <w:sz w:val="24"/>
        </w:rPr>
      </w:pPr>
      <w:r>
        <w:rPr>
          <w:rFonts w:ascii="Times New Roman" w:hAnsi="Times New Roman"/>
          <w:sz w:val="24"/>
        </w:rPr>
        <w:t>Степень исполнения плана считается удовлетворительной в случае исполнения в установленные сроки не менее 75 процентов запланированных мероприятий и получении не менее 75 процентов ожидаемых результатов.</w:t>
      </w:r>
    </w:p>
    <w:p w14:paraId="99010000">
      <w:pPr>
        <w:widowControl w:val="0"/>
        <w:spacing w:after="0" w:line="240" w:lineRule="auto"/>
        <w:ind w:firstLine="709" w:left="0"/>
        <w:jc w:val="both"/>
        <w:rPr>
          <w:rFonts w:ascii="Times New Roman" w:hAnsi="Times New Roman"/>
          <w:sz w:val="24"/>
        </w:rPr>
      </w:pPr>
      <w:r>
        <w:rPr>
          <w:rFonts w:ascii="Times New Roman" w:hAnsi="Times New Roman"/>
          <w:sz w:val="24"/>
        </w:rPr>
        <w:t>При более низких показателях исполнения плана по реализации Муниципальной программы данной работе дается неудовлетворительная оценка. «Неудовлетворительный» результат оценки степени исполнения плана по реализации Муниципальной программы подлежит дополнительной проверке в рамках экспертной оценки, в ходе которой производится анализ и ранжирование важности мероприятий, а также анализ причин неисполнения мероприятий (нарушения сроков), несоответствия полученных результатов и плановых.</w:t>
      </w:r>
    </w:p>
    <w:sectPr>
      <w:pgSz w:h="16838" w:orient="portrait" w:w="11906"/>
      <w:pgMar w:bottom="1531" w:footer="720" w:gutter="0" w:header="720" w:left="1134" w:right="851" w:top="822"/>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3"/>
      <w:numFmt w:val="decimal"/>
      <w:lvlText w:val="%1."/>
      <w:lvlJc w:val="left"/>
      <w:pPr>
        <w:ind w:firstLine="0" w:left="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pPr>
      <w:spacing w:after="200" w:line="276" w:lineRule="auto"/>
      <w:ind/>
    </w:pPr>
    <w:rPr>
      <w:rFonts w:ascii="Calibri" w:hAnsi="Calibri"/>
      <w:sz w:val="22"/>
    </w:rPr>
  </w:style>
  <w:style w:default="1" w:styleId="Style_7_ch" w:type="character">
    <w:name w:val="Normal"/>
    <w:link w:val="Style_7"/>
    <w:rPr>
      <w:rFonts w:ascii="Calibri" w:hAnsi="Calibri"/>
      <w:sz w:val="22"/>
    </w:rPr>
  </w:style>
  <w:style w:styleId="Style_8" w:type="paragraph">
    <w:name w:val="toc 2"/>
    <w:next w:val="Style_7"/>
    <w:link w:val="Style_8_ch"/>
    <w:uiPriority w:val="39"/>
    <w:pPr>
      <w:ind w:firstLine="0" w:left="200"/>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pPr>
    <w:rPr>
      <w:rFonts w:ascii="XO Thames" w:hAnsi="XO Thames"/>
      <w:sz w:val="28"/>
    </w:rPr>
  </w:style>
  <w:style w:styleId="Style_11_ch" w:type="character">
    <w:name w:val="toc 7"/>
    <w:link w:val="Style_11"/>
    <w:rPr>
      <w:rFonts w:ascii="XO Thames" w:hAnsi="XO Thames"/>
      <w:sz w:val="28"/>
    </w:rPr>
  </w:style>
  <w:style w:styleId="Style_12" w:type="paragraph">
    <w:name w:val="heading 3"/>
    <w:next w:val="Style_7"/>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3" w:type="paragraph">
    <w:name w:val="ConsPlusTitle"/>
    <w:link w:val="Style_3_ch"/>
    <w:pPr>
      <w:widowControl w:val="0"/>
      <w:ind/>
    </w:pPr>
    <w:rPr>
      <w:rFonts w:ascii="Arial" w:hAnsi="Arial"/>
      <w:b w:val="1"/>
    </w:rPr>
  </w:style>
  <w:style w:styleId="Style_3_ch" w:type="character">
    <w:name w:val="ConsPlusTitle"/>
    <w:link w:val="Style_3"/>
    <w:rPr>
      <w:rFonts w:ascii="Arial" w:hAnsi="Arial"/>
      <w:b w:val="1"/>
    </w:rPr>
  </w:style>
  <w:style w:styleId="Style_13" w:type="paragraph">
    <w:name w:val="Обычный1"/>
    <w:link w:val="Style_13_ch"/>
    <w:rPr>
      <w:rFonts w:ascii="Calibri" w:hAnsi="Calibri"/>
      <w:sz w:val="22"/>
    </w:rPr>
  </w:style>
  <w:style w:styleId="Style_13_ch" w:type="character">
    <w:name w:val="Обычный1"/>
    <w:link w:val="Style_13"/>
    <w:rPr>
      <w:rFonts w:ascii="Calibri" w:hAnsi="Calibri"/>
      <w:sz w:val="22"/>
    </w:rPr>
  </w:style>
  <w:style w:styleId="Style_14" w:type="paragraph">
    <w:name w:val="Гиперссылка1"/>
    <w:link w:val="Style_14_ch"/>
    <w:rPr>
      <w:color w:val="0000FF"/>
      <w:u w:val="single"/>
    </w:rPr>
  </w:style>
  <w:style w:styleId="Style_14_ch" w:type="character">
    <w:name w:val="Гиперссылка1"/>
    <w:link w:val="Style_14"/>
    <w:rPr>
      <w:color w:val="0000FF"/>
      <w:u w:val="single"/>
    </w:rPr>
  </w:style>
  <w:style w:styleId="Style_15" w:type="paragraph">
    <w:name w:val="toc 3"/>
    <w:next w:val="Style_7"/>
    <w:link w:val="Style_15_ch"/>
    <w:uiPriority w:val="39"/>
    <w:pPr>
      <w:ind w:firstLine="0" w:left="400"/>
    </w:pPr>
    <w:rPr>
      <w:rFonts w:ascii="XO Thames" w:hAnsi="XO Thames"/>
      <w:sz w:val="28"/>
    </w:rPr>
  </w:style>
  <w:style w:styleId="Style_15_ch" w:type="character">
    <w:name w:val="toc 3"/>
    <w:link w:val="Style_15"/>
    <w:rPr>
      <w:rFonts w:ascii="XO Thames" w:hAnsi="XO Thames"/>
      <w:sz w:val="28"/>
    </w:rPr>
  </w:style>
  <w:style w:styleId="Style_4" w:type="paragraph">
    <w:name w:val="ConsPlusNormal"/>
    <w:link w:val="Style_4_ch"/>
    <w:pPr>
      <w:widowControl w:val="0"/>
      <w:ind w:firstLine="720" w:left="0"/>
    </w:pPr>
    <w:rPr>
      <w:rFonts w:ascii="Arial" w:hAnsi="Arial"/>
    </w:rPr>
  </w:style>
  <w:style w:styleId="Style_4_ch" w:type="character">
    <w:name w:val="ConsPlusNormal"/>
    <w:link w:val="Style_4"/>
    <w:rPr>
      <w:rFonts w:ascii="Arial" w:hAnsi="Arial"/>
    </w:rPr>
  </w:style>
  <w:style w:styleId="Style_16" w:type="paragraph">
    <w:name w:val="heading 5"/>
    <w:next w:val="Style_7"/>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7"/>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7"/>
    <w:link w:val="Style_20_ch"/>
    <w:uiPriority w:val="39"/>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ind/>
      <w:jc w:val="both"/>
    </w:pPr>
    <w:rPr>
      <w:rFonts w:ascii="XO Thames" w:hAnsi="XO Thames"/>
    </w:rPr>
  </w:style>
  <w:style w:styleId="Style_21_ch" w:type="character">
    <w:name w:val="Header and Footer"/>
    <w:link w:val="Style_21"/>
    <w:rPr>
      <w:rFonts w:ascii="XO Thames" w:hAnsi="XO Thames"/>
    </w:rPr>
  </w:style>
  <w:style w:styleId="Style_22" w:type="paragraph">
    <w:name w:val="Default Paragraph Font"/>
    <w:link w:val="Style_22_ch"/>
  </w:style>
  <w:style w:styleId="Style_22_ch" w:type="character">
    <w:name w:val="Default Paragraph Font"/>
    <w:link w:val="Style_22"/>
  </w:style>
  <w:style w:styleId="Style_5" w:type="paragraph">
    <w:name w:val="ConsPlusNonformat"/>
    <w:link w:val="Style_5_ch"/>
    <w:pPr>
      <w:widowControl w:val="0"/>
      <w:ind/>
    </w:pPr>
    <w:rPr>
      <w:rFonts w:ascii="Courier New" w:hAnsi="Courier New"/>
    </w:rPr>
  </w:style>
  <w:style w:styleId="Style_5_ch" w:type="character">
    <w:name w:val="ConsPlusNonformat"/>
    <w:link w:val="Style_5"/>
    <w:rPr>
      <w:rFonts w:ascii="Courier New" w:hAnsi="Courier New"/>
    </w:rPr>
  </w:style>
  <w:style w:styleId="Style_23" w:type="paragraph">
    <w:name w:val="toc 9"/>
    <w:next w:val="Style_7"/>
    <w:link w:val="Style_23_ch"/>
    <w:uiPriority w:val="39"/>
    <w:pPr>
      <w:ind w:firstLine="0" w:left="1600"/>
    </w:pPr>
    <w:rPr>
      <w:rFonts w:ascii="XO Thames" w:hAnsi="XO Thames"/>
      <w:sz w:val="28"/>
    </w:rPr>
  </w:style>
  <w:style w:styleId="Style_23_ch" w:type="character">
    <w:name w:val="toc 9"/>
    <w:link w:val="Style_23"/>
    <w:rPr>
      <w:rFonts w:ascii="XO Thames" w:hAnsi="XO Thames"/>
      <w:sz w:val="28"/>
    </w:rPr>
  </w:style>
  <w:style w:styleId="Style_1" w:type="paragraph">
    <w:name w:val="No Spacing"/>
    <w:link w:val="Style_1_ch"/>
    <w:pPr>
      <w:widowControl w:val="0"/>
      <w:ind/>
    </w:pPr>
  </w:style>
  <w:style w:styleId="Style_1_ch" w:type="character">
    <w:name w:val="No Spacing"/>
    <w:link w:val="Style_1"/>
  </w:style>
  <w:style w:styleId="Style_24" w:type="paragraph">
    <w:name w:val="Отчетный"/>
    <w:basedOn w:val="Style_7"/>
    <w:link w:val="Style_24_ch"/>
    <w:pPr>
      <w:spacing w:after="120" w:line="360" w:lineRule="auto"/>
      <w:ind w:firstLine="720" w:left="0"/>
      <w:jc w:val="both"/>
    </w:pPr>
    <w:rPr>
      <w:sz w:val="26"/>
    </w:rPr>
  </w:style>
  <w:style w:styleId="Style_24_ch" w:type="character">
    <w:name w:val="Отчетный"/>
    <w:basedOn w:val="Style_7_ch"/>
    <w:link w:val="Style_24"/>
    <w:rPr>
      <w:sz w:val="26"/>
    </w:rPr>
  </w:style>
  <w:style w:styleId="Style_25" w:type="paragraph">
    <w:name w:val="Сильное выделение1"/>
    <w:link w:val="Style_25_ch"/>
    <w:rPr>
      <w:b w:val="1"/>
      <w:i w:val="1"/>
      <w:color w:val="4F81BD"/>
    </w:rPr>
  </w:style>
  <w:style w:styleId="Style_25_ch" w:type="character">
    <w:name w:val="Сильное выделение1"/>
    <w:link w:val="Style_25"/>
    <w:rPr>
      <w:b w:val="1"/>
      <w:i w:val="1"/>
      <w:color w:val="4F81BD"/>
    </w:rPr>
  </w:style>
  <w:style w:styleId="Style_26" w:type="paragraph">
    <w:name w:val="toc 8"/>
    <w:next w:val="Style_7"/>
    <w:link w:val="Style_26_ch"/>
    <w:uiPriority w:val="39"/>
    <w:pPr>
      <w:ind w:firstLine="0" w:left="1400"/>
    </w:pPr>
    <w:rPr>
      <w:rFonts w:ascii="XO Thames" w:hAnsi="XO Thames"/>
      <w:sz w:val="28"/>
    </w:rPr>
  </w:style>
  <w:style w:styleId="Style_26_ch" w:type="character">
    <w:name w:val="toc 8"/>
    <w:link w:val="Style_26"/>
    <w:rPr>
      <w:rFonts w:ascii="XO Thames" w:hAnsi="XO Thames"/>
      <w:sz w:val="28"/>
    </w:rPr>
  </w:style>
  <w:style w:styleId="Style_27" w:type="paragraph">
    <w:name w:val="Основной шрифт абзаца1"/>
    <w:link w:val="Style_27_ch"/>
  </w:style>
  <w:style w:styleId="Style_27_ch" w:type="character">
    <w:name w:val="Основной шрифт абзаца1"/>
    <w:link w:val="Style_27"/>
  </w:style>
  <w:style w:styleId="Style_28" w:type="paragraph">
    <w:name w:val="toc 5"/>
    <w:next w:val="Style_7"/>
    <w:link w:val="Style_28_ch"/>
    <w:uiPriority w:val="39"/>
    <w:pPr>
      <w:ind w:firstLine="0" w:left="800"/>
    </w:pPr>
    <w:rPr>
      <w:rFonts w:ascii="XO Thames" w:hAnsi="XO Thames"/>
      <w:sz w:val="28"/>
    </w:rPr>
  </w:style>
  <w:style w:styleId="Style_28_ch" w:type="character">
    <w:name w:val="toc 5"/>
    <w:link w:val="Style_28"/>
    <w:rPr>
      <w:rFonts w:ascii="XO Thames" w:hAnsi="XO Thames"/>
      <w:sz w:val="28"/>
    </w:rPr>
  </w:style>
  <w:style w:styleId="Style_29" w:type="paragraph">
    <w:name w:val="Subtitle"/>
    <w:next w:val="Style_7"/>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ConsPlusCell"/>
    <w:link w:val="Style_30_ch"/>
    <w:pPr>
      <w:widowControl w:val="0"/>
      <w:ind/>
    </w:pPr>
    <w:rPr>
      <w:sz w:val="28"/>
    </w:rPr>
  </w:style>
  <w:style w:styleId="Style_30_ch" w:type="character">
    <w:name w:val="ConsPlusCell"/>
    <w:link w:val="Style_30"/>
    <w:rPr>
      <w:sz w:val="28"/>
    </w:rPr>
  </w:style>
  <w:style w:styleId="Style_31" w:type="paragraph">
    <w:name w:val="Title"/>
    <w:next w:val="Style_7"/>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6" w:type="paragraph">
    <w:name w:val="heading 4"/>
    <w:basedOn w:val="Style_7"/>
    <w:next w:val="Style_7"/>
    <w:link w:val="Style_6_ch"/>
    <w:uiPriority w:val="9"/>
    <w:qFormat/>
    <w:pPr>
      <w:keepNext w:val="1"/>
      <w:spacing w:after="0" w:line="240" w:lineRule="auto"/>
      <w:ind/>
      <w:jc w:val="center"/>
      <w:outlineLvl w:val="3"/>
    </w:pPr>
    <w:rPr>
      <w:b w:val="1"/>
      <w:sz w:val="28"/>
    </w:rPr>
  </w:style>
  <w:style w:styleId="Style_6_ch" w:type="character">
    <w:name w:val="heading 4"/>
    <w:basedOn w:val="Style_7_ch"/>
    <w:link w:val="Style_6"/>
    <w:rPr>
      <w:b w:val="1"/>
      <w:sz w:val="28"/>
    </w:rPr>
  </w:style>
  <w:style w:styleId="Style_32" w:type="paragraph">
    <w:name w:val="heading 2"/>
    <w:next w:val="Style_7"/>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2.wmf" Type="http://schemas.openxmlformats.org/officeDocument/2006/relationships/image"/>
  <Relationship Id="rId1" Target="media/1.wmf"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2025-11-07T17:01:03Z</dcterms:modified>
</cp:coreProperties>
</file>