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both"/>
        <w:rPr>
          <w:rFonts w:ascii="Arial" w:hAnsi="Arial"/>
          <w:sz w:val="24"/>
        </w:rPr>
      </w:pPr>
    </w:p>
    <w:p w14:paraId="04000000">
      <w:pPr>
        <w:ind w:firstLine="4253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2</w:t>
      </w:r>
    </w:p>
    <w:p w14:paraId="05000000">
      <w:pPr>
        <w:pStyle w:val="Style_2"/>
        <w:ind w:firstLine="4253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Порядку проведения мониторинга </w:t>
      </w:r>
    </w:p>
    <w:p w14:paraId="06000000">
      <w:pPr>
        <w:pStyle w:val="Style_2"/>
        <w:ind w:firstLine="4253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качества финансового менеджмента </w:t>
      </w:r>
    </w:p>
    <w:p w14:paraId="07000000">
      <w:pPr>
        <w:pStyle w:val="Style_2"/>
        <w:ind w:firstLine="4253" w:left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 отношении главных администраторов </w:t>
      </w:r>
    </w:p>
    <w:p w14:paraId="08000000">
      <w:pPr>
        <w:pStyle w:val="Style_2"/>
        <w:ind w:firstLine="713" w:left="326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>средств бюджета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pacing w:val="-1"/>
          <w:sz w:val="20"/>
        </w:rPr>
        <w:t>муниципального образования «</w:t>
      </w:r>
      <w:r>
        <w:rPr>
          <w:rFonts w:ascii="Arial" w:hAnsi="Arial"/>
          <w:color w:val="000000"/>
          <w:spacing w:val="-1"/>
          <w:sz w:val="20"/>
        </w:rPr>
        <w:t>Молотычевский</w:t>
      </w:r>
      <w:r>
        <w:rPr>
          <w:rFonts w:ascii="Arial" w:hAnsi="Arial"/>
          <w:color w:val="000000"/>
          <w:spacing w:val="-1"/>
          <w:sz w:val="20"/>
        </w:rPr>
        <w:t xml:space="preserve"> сельсовет» Фатежского района Курской области</w:t>
      </w:r>
    </w:p>
    <w:p w14:paraId="09000000">
      <w:pPr>
        <w:pStyle w:val="Style_2"/>
        <w:ind/>
        <w:jc w:val="right"/>
        <w:rPr>
          <w:rFonts w:ascii="Arial" w:hAnsi="Arial"/>
          <w:sz w:val="24"/>
        </w:rPr>
      </w:pPr>
    </w:p>
    <w:p w14:paraId="0A000000">
      <w:pPr>
        <w:pStyle w:val="Style_2"/>
        <w:ind/>
        <w:contextualSpacing w:val="1"/>
        <w:jc w:val="center"/>
        <w:rPr>
          <w:rFonts w:ascii="Arial" w:hAnsi="Arial"/>
          <w:b w:val="1"/>
          <w:sz w:val="28"/>
        </w:rPr>
      </w:pPr>
      <w:bookmarkStart w:id="1" w:name="P423"/>
      <w:bookmarkEnd w:id="1"/>
      <w:r>
        <w:rPr>
          <w:rFonts w:ascii="Arial" w:hAnsi="Arial"/>
          <w:b w:val="1"/>
          <w:sz w:val="28"/>
        </w:rPr>
        <w:t>Сведения,</w:t>
      </w:r>
    </w:p>
    <w:p w14:paraId="0B000000">
      <w:pPr>
        <w:pStyle w:val="Style_2"/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используемые для расчета показателей качества финансового</w:t>
      </w:r>
    </w:p>
    <w:p w14:paraId="0C000000">
      <w:pPr>
        <w:pStyle w:val="Style_2"/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менеджмента, осуществляемого главными администраторами</w:t>
      </w:r>
    </w:p>
    <w:p w14:paraId="0D000000">
      <w:pPr>
        <w:pStyle w:val="Style_2"/>
        <w:ind/>
        <w:contextualSpacing w:val="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бюджетных средств </w:t>
      </w:r>
      <w:r>
        <w:rPr>
          <w:rFonts w:ascii="Arial" w:hAnsi="Arial"/>
          <w:color w:val="000000"/>
          <w:spacing w:val="-1"/>
          <w:sz w:val="24"/>
        </w:rPr>
        <w:t>муниципального образования «</w:t>
      </w:r>
      <w:r>
        <w:rPr>
          <w:rFonts w:ascii="Arial" w:hAnsi="Arial"/>
          <w:color w:val="000000"/>
          <w:spacing w:val="-1"/>
          <w:sz w:val="24"/>
        </w:rPr>
        <w:t>Молотычевский</w:t>
      </w:r>
      <w:r>
        <w:rPr>
          <w:rFonts w:ascii="Arial" w:hAnsi="Arial"/>
          <w:color w:val="000000"/>
          <w:spacing w:val="-1"/>
          <w:sz w:val="24"/>
        </w:rPr>
        <w:t xml:space="preserve"> сельсовет» Фатежского района Курской области</w:t>
      </w:r>
    </w:p>
    <w:p w14:paraId="0E000000">
      <w:pPr>
        <w:pStyle w:val="Style_2"/>
        <w:ind/>
        <w:contextualSpacing w:val="1"/>
        <w:jc w:val="center"/>
        <w:rPr>
          <w:rFonts w:ascii="Arial" w:hAnsi="Arial"/>
          <w:b w:val="1"/>
          <w:sz w:val="22"/>
          <w:u w:val="single"/>
        </w:rPr>
      </w:pPr>
      <w:r>
        <w:rPr>
          <w:rFonts w:ascii="Times New Roman" w:hAnsi="Times New Roman"/>
          <w:b w:val="1"/>
          <w:color w:val="000000"/>
          <w:sz w:val="22"/>
          <w:u w:val="single"/>
        </w:rPr>
        <w:t>АДМИНИСТРАЦИЯ МОЛОТЫЧЕВСКОГО СЕЛЬСОВЕТА ФАТЕЖСКОГО РАЙОНА</w:t>
      </w:r>
    </w:p>
    <w:p w14:paraId="0F000000">
      <w:pPr>
        <w:pStyle w:val="Style_2"/>
        <w:ind/>
        <w:contextualSpacing w:val="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наименование ГАБС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Молотычевского</w:t>
      </w:r>
      <w:r>
        <w:rPr>
          <w:rFonts w:ascii="Arial" w:hAnsi="Arial"/>
          <w:sz w:val="16"/>
        </w:rPr>
        <w:t xml:space="preserve"> сельсовета  </w:t>
      </w:r>
      <w:r>
        <w:rPr>
          <w:rFonts w:ascii="Arial" w:hAnsi="Arial"/>
          <w:sz w:val="16"/>
        </w:rPr>
        <w:t>Фатежского</w:t>
      </w:r>
      <w:r>
        <w:rPr>
          <w:rFonts w:ascii="Arial" w:hAnsi="Arial"/>
          <w:sz w:val="16"/>
        </w:rPr>
        <w:t xml:space="preserve"> район</w:t>
      </w:r>
      <w:r>
        <w:rPr>
          <w:rFonts w:ascii="Arial" w:hAnsi="Arial"/>
          <w:sz w:val="16"/>
        </w:rPr>
        <w:t>а</w:t>
      </w:r>
      <w:r>
        <w:rPr>
          <w:rFonts w:ascii="Arial" w:hAnsi="Arial"/>
          <w:sz w:val="16"/>
        </w:rPr>
        <w:t xml:space="preserve"> </w:t>
      </w:r>
    </w:p>
    <w:p w14:paraId="10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</w:p>
    <w:p w14:paraId="11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Периодичность: годовая на  </w:t>
      </w:r>
      <w:r>
        <w:rPr>
          <w:rFonts w:ascii="Arial" w:hAnsi="Arial"/>
          <w:b w:val="1"/>
          <w:sz w:val="24"/>
        </w:rPr>
        <w:t>31.12. 2024 г</w:t>
      </w:r>
      <w:r>
        <w:rPr>
          <w:rFonts w:ascii="Arial" w:hAnsi="Arial"/>
          <w:sz w:val="24"/>
        </w:rPr>
        <w:t>.</w:t>
      </w:r>
    </w:p>
    <w:p w14:paraId="12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Наличие (отсутствие) муниципальных учреждений 1 </w:t>
      </w:r>
      <w:r>
        <w:rPr>
          <w:rFonts w:ascii="Arial" w:hAnsi="Arial"/>
          <w:sz w:val="24"/>
        </w:rPr>
        <w:t>(одно)</w:t>
      </w:r>
      <w:r>
        <w:rPr>
          <w:rFonts w:ascii="Arial" w:hAnsi="Arial"/>
          <w:sz w:val="24"/>
        </w:rPr>
        <w:t xml:space="preserve">, в том числе:         казенных 0 </w:t>
      </w:r>
      <w:r>
        <w:rPr>
          <w:rFonts w:ascii="Arial" w:hAnsi="Arial"/>
          <w:sz w:val="24"/>
        </w:rPr>
        <w:t>(ноль)</w:t>
      </w:r>
      <w:r>
        <w:rPr>
          <w:rFonts w:ascii="Arial" w:hAnsi="Arial"/>
          <w:sz w:val="24"/>
        </w:rPr>
        <w:t>,</w:t>
      </w:r>
    </w:p>
    <w:p w14:paraId="13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бюджетных 1 </w:t>
      </w:r>
      <w:r>
        <w:rPr>
          <w:rFonts w:ascii="Arial" w:hAnsi="Arial"/>
          <w:sz w:val="24"/>
        </w:rPr>
        <w:t>(одно)</w:t>
      </w:r>
      <w:r>
        <w:rPr>
          <w:rFonts w:ascii="Arial" w:hAnsi="Arial"/>
          <w:sz w:val="24"/>
        </w:rPr>
        <w:t>,</w:t>
      </w:r>
    </w:p>
    <w:p w14:paraId="14000000">
      <w:pPr>
        <w:pStyle w:val="Style_2"/>
        <w:ind w:firstLine="540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автономных 0 </w:t>
      </w:r>
      <w:r>
        <w:rPr>
          <w:rFonts w:ascii="Arial" w:hAnsi="Arial"/>
          <w:sz w:val="24"/>
        </w:rPr>
        <w:t>(ноль)</w:t>
      </w:r>
      <w:r>
        <w:rPr>
          <w:rFonts w:ascii="Arial" w:hAnsi="Arial"/>
          <w:sz w:val="24"/>
        </w:rPr>
        <w:t>.</w:t>
      </w:r>
    </w:p>
    <w:p w14:paraId="15000000">
      <w:pPr>
        <w:pStyle w:val="Style_2"/>
        <w:ind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Финансовое планирование</w:t>
      </w:r>
    </w:p>
    <w:p w14:paraId="16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2" w:name="P441"/>
      <w:bookmarkEnd w:id="2"/>
    </w:p>
    <w:p w14:paraId="17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Полнота информации о расходных обязательствах:</w:t>
      </w:r>
    </w:p>
    <w:p w14:paraId="18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90"/>
        <w:gridCol w:w="3368"/>
        <w:gridCol w:w="2980"/>
      </w:tblGrid>
      <w:tr>
        <w:tc>
          <w:tcPr>
            <w:tcW w:type="dxa" w:w="3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Количество расходных обязательств ГАБС на очередной финансовый год, для которых не указано хотя бы одно из полей </w:t>
            </w:r>
            <w:r>
              <w:rPr>
                <w:rFonts w:ascii="Arial" w:hAnsi="Arial"/>
                <w:sz w:val="24"/>
              </w:rPr>
              <w:t>&lt;*&gt;</w:t>
            </w:r>
            <w:r>
              <w:rPr>
                <w:rFonts w:ascii="Arial" w:hAnsi="Arial"/>
                <w:sz w:val="24"/>
              </w:rPr>
              <w:t xml:space="preserve"> (штук)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полнота информации о расходных обязательствах (Про), %.</w:t>
            </w:r>
          </w:p>
          <w:p w14:paraId="1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3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3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</w:tbl>
    <w:p w14:paraId="23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</w:t>
      </w:r>
    </w:p>
    <w:p w14:paraId="24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bookmarkStart w:id="3" w:name="P455"/>
      <w:bookmarkEnd w:id="3"/>
    </w:p>
    <w:p w14:paraId="25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&lt;*&gt; Информация, используемая при оценке полноты оформления расходных обязательств:</w:t>
      </w:r>
    </w:p>
    <w:p w14:paraId="26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реквизиты;</w:t>
      </w:r>
    </w:p>
    <w:p w14:paraId="27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14:paraId="28000000">
      <w:pPr>
        <w:pStyle w:val="Style_2"/>
        <w:ind w:firstLine="539" w:left="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коды классификации расходов, по которым предусмотрены ассигнования на исполнение расходного обязательства.</w:t>
      </w:r>
    </w:p>
    <w:p w14:paraId="29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4" w:name="P459"/>
      <w:bookmarkEnd w:id="4"/>
    </w:p>
    <w:p w14:paraId="2A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Доля бюджетных ассигнований, представленных в программном виде:</w:t>
      </w:r>
    </w:p>
    <w:p w14:paraId="2B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010"/>
        <w:gridCol w:w="3573"/>
        <w:gridCol w:w="2977"/>
      </w:tblGrid>
      <w:tr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доля бюджетных ассигнований в программном виде (Дпр), %.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3351,92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3351,92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35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36000000">
      <w:pPr>
        <w:pStyle w:val="Style_2"/>
        <w:ind/>
        <w:jc w:val="center"/>
        <w:outlineLvl w:val="2"/>
        <w:rPr>
          <w:rFonts w:ascii="Arial" w:hAnsi="Arial"/>
          <w:sz w:val="24"/>
        </w:rPr>
      </w:pPr>
      <w:bookmarkStart w:id="5" w:name="P473"/>
      <w:bookmarkEnd w:id="5"/>
      <w:bookmarkStart w:id="6" w:name="P486"/>
      <w:bookmarkEnd w:id="6"/>
      <w:r>
        <w:rPr>
          <w:rFonts w:ascii="Arial" w:hAnsi="Arial"/>
          <w:sz w:val="24"/>
        </w:rPr>
        <w:t>2. Исполнение бюджета в части расходов</w:t>
      </w:r>
    </w:p>
    <w:p w14:paraId="37000000">
      <w:pPr>
        <w:pStyle w:val="Style_2"/>
        <w:ind/>
        <w:jc w:val="center"/>
        <w:outlineLvl w:val="2"/>
        <w:rPr>
          <w:rFonts w:ascii="Arial" w:hAnsi="Arial"/>
          <w:sz w:val="24"/>
        </w:rPr>
      </w:pPr>
    </w:p>
    <w:p w14:paraId="38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 Уровень исполнения расходов за счет межбюджетных трансфертов:</w:t>
      </w:r>
    </w:p>
    <w:p w14:paraId="39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64"/>
        <w:gridCol w:w="3399"/>
        <w:gridCol w:w="2864"/>
      </w:tblGrid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>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</w:t>
            </w:r>
            <w:r>
              <w:rPr>
                <w:rFonts w:ascii="Arial" w:hAnsi="Arial"/>
                <w:sz w:val="24"/>
              </w:rPr>
              <w:t>(тыс. рублей)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Показатель: </w:t>
            </w:r>
            <w:r>
              <w:rPr>
                <w:rFonts w:ascii="Arial" w:hAnsi="Arial"/>
                <w:sz w:val="24"/>
              </w:rPr>
              <w:t>Уровень исполнения расходов за счет межбюджетных трансфертов</w:t>
            </w:r>
            <w:r>
              <w:rPr>
                <w:rFonts w:ascii="Arial" w:hAnsi="Arial"/>
                <w:sz w:val="24"/>
              </w:rPr>
              <w:t xml:space="preserve"> (</w:t>
            </w:r>
            <w:r>
              <w:rPr>
                <w:rFonts w:ascii="Arial" w:hAnsi="Arial"/>
                <w:sz w:val="24"/>
              </w:rPr>
              <w:t>Кмбт</w:t>
            </w:r>
            <w:r>
              <w:rPr>
                <w:rFonts w:ascii="Arial" w:hAnsi="Arial"/>
                <w:sz w:val="24"/>
              </w:rPr>
              <w:t>), % .</w:t>
            </w:r>
          </w:p>
          <w:p w14:paraId="3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852,83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852,83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44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7" w:name="P590"/>
      <w:bookmarkEnd w:id="7"/>
    </w:p>
    <w:p w14:paraId="45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 Качество прогнозирования кассовых расходов, кроме муниципальных программ:</w:t>
      </w:r>
    </w:p>
    <w:p w14:paraId="46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64"/>
        <w:gridCol w:w="3399"/>
        <w:gridCol w:w="2864"/>
      </w:tblGrid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уровень кассового прогнозирования расходов ГАБС, кроме программ (Пр), %.</w:t>
            </w:r>
          </w:p>
          <w:p w14:paraId="4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3521,73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3610,53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97,54</w:t>
            </w:r>
          </w:p>
        </w:tc>
      </w:tr>
    </w:tbl>
    <w:p w14:paraId="51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52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8" w:name="P560"/>
      <w:bookmarkEnd w:id="8"/>
      <w:r>
        <w:rPr>
          <w:rFonts w:ascii="Arial" w:hAnsi="Arial"/>
          <w:sz w:val="24"/>
        </w:rPr>
        <w:t>2.3. Качество прогнозирования кассовых расходов по программам:</w:t>
      </w:r>
    </w:p>
    <w:p w14:paraId="53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64"/>
        <w:gridCol w:w="3399"/>
        <w:gridCol w:w="2864"/>
      </w:tblGrid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уровень кассового прогнозирования программ ГАБС (Пцп), %.</w:t>
            </w:r>
          </w:p>
          <w:p w14:paraId="5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3521,72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3521,72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5E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5F000000">
      <w:pPr>
        <w:pStyle w:val="Style_2"/>
        <w:ind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Исполнение бюджета в части доходов</w:t>
      </w:r>
    </w:p>
    <w:p w14:paraId="60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61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9" w:name="P624"/>
      <w:bookmarkEnd w:id="9"/>
      <w:bookmarkStart w:id="10" w:name="P648"/>
      <w:bookmarkEnd w:id="10"/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Полнота зачисления платежей в бюджет </w:t>
      </w:r>
      <w:r>
        <w:rPr>
          <w:rFonts w:ascii="Arial" w:hAnsi="Arial"/>
          <w:sz w:val="24"/>
        </w:rPr>
        <w:t>Молотычевского</w:t>
      </w:r>
      <w:r>
        <w:rPr>
          <w:rFonts w:ascii="Arial" w:hAnsi="Arial"/>
          <w:sz w:val="24"/>
        </w:rPr>
        <w:t xml:space="preserve"> сельсовета        </w:t>
      </w:r>
      <w:r>
        <w:rPr>
          <w:rFonts w:ascii="Arial" w:hAnsi="Arial"/>
          <w:sz w:val="24"/>
        </w:rPr>
        <w:t>Фатежского</w:t>
      </w:r>
      <w:r>
        <w:rPr>
          <w:rFonts w:ascii="Arial" w:hAnsi="Arial"/>
          <w:sz w:val="24"/>
        </w:rPr>
        <w:t xml:space="preserve"> района </w:t>
      </w:r>
      <w:r>
        <w:rPr>
          <w:rFonts w:ascii="Arial" w:hAnsi="Arial"/>
          <w:sz w:val="24"/>
        </w:rPr>
        <w:t>по ГАБС, объем невыясненных поступлений:</w:t>
      </w:r>
    </w:p>
    <w:p w14:paraId="62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176"/>
        <w:gridCol w:w="2951"/>
      </w:tblGrid>
      <w:tr>
        <w:tc>
          <w:tcPr>
            <w:tcW w:type="dxa" w:w="6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Сумма поступлений по зачисляемым платежам в бюджет </w:t>
            </w:r>
            <w:r>
              <w:rPr>
                <w:rFonts w:ascii="Arial" w:hAnsi="Arial"/>
                <w:sz w:val="24"/>
              </w:rPr>
              <w:t>Молотычевского</w:t>
            </w:r>
            <w:r>
              <w:rPr>
                <w:rFonts w:ascii="Arial" w:hAnsi="Arial"/>
                <w:sz w:val="24"/>
              </w:rPr>
              <w:t xml:space="preserve"> сельсовета </w:t>
            </w:r>
            <w:r>
              <w:rPr>
                <w:rFonts w:ascii="Arial" w:hAnsi="Arial"/>
                <w:sz w:val="24"/>
              </w:rPr>
              <w:t>Фатежского</w:t>
            </w:r>
            <w:r>
              <w:rPr>
                <w:rFonts w:ascii="Arial" w:hAnsi="Arial"/>
                <w:sz w:val="24"/>
              </w:rPr>
              <w:t xml:space="preserve"> района, отнесенных на невыясненные поступления за отчетный финансовый год (тыс. рублей)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Показатель: наличие / отсутствие невыясненных поступлений ГРБС </w:t>
            </w:r>
          </w:p>
          <w:p w14:paraId="65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c>
          <w:tcPr>
            <w:tcW w:type="dxa" w:w="6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>
        <w:tc>
          <w:tcPr>
            <w:tcW w:type="dxa" w:w="6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2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отсутствие</w:t>
            </w:r>
          </w:p>
        </w:tc>
      </w:tr>
    </w:tbl>
    <w:p w14:paraId="6A000000">
      <w:pPr>
        <w:pStyle w:val="Style_2"/>
        <w:ind w:firstLine="540" w:left="0"/>
        <w:jc w:val="both"/>
        <w:rPr>
          <w:rFonts w:ascii="Arial" w:hAnsi="Arial"/>
          <w:color w:val="000000"/>
          <w:sz w:val="24"/>
        </w:rPr>
      </w:pPr>
      <w:bookmarkStart w:id="11" w:name="P662"/>
      <w:bookmarkEnd w:id="11"/>
    </w:p>
    <w:p w14:paraId="6B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3.</w:t>
      </w:r>
      <w:r>
        <w:rPr>
          <w:rFonts w:ascii="Arial" w:hAnsi="Arial"/>
          <w:color w:val="000000"/>
          <w:sz w:val="24"/>
        </w:rPr>
        <w:t>2</w:t>
      </w:r>
      <w:r>
        <w:rPr>
          <w:rFonts w:ascii="Arial" w:hAnsi="Arial"/>
          <w:color w:val="000000"/>
          <w:sz w:val="24"/>
        </w:rPr>
        <w:t>. Отклонение кассового исполнения по доходам</w:t>
      </w:r>
      <w:r>
        <w:rPr>
          <w:rFonts w:ascii="Arial" w:hAnsi="Arial"/>
          <w:sz w:val="24"/>
        </w:rPr>
        <w:t xml:space="preserve"> от прогноза по ГАБС:</w:t>
      </w:r>
    </w:p>
    <w:p w14:paraId="6C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64"/>
        <w:gridCol w:w="3399"/>
        <w:gridCol w:w="2864"/>
      </w:tblGrid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отклонение доходов (Од), %.</w:t>
            </w:r>
          </w:p>
          <w:p w14:paraId="7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(1 - (гр1 / гр2))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6955,81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6961,44</w:t>
            </w:r>
          </w:p>
        </w:tc>
        <w:tc>
          <w:tcPr>
            <w:tcW w:type="dxa" w:w="2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10,00</w:t>
            </w:r>
          </w:p>
        </w:tc>
      </w:tr>
    </w:tbl>
    <w:p w14:paraId="77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78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12" w:name="P676"/>
      <w:bookmarkEnd w:id="12"/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Эффективность управления дебиторской задолженностью по расчетам с дебиторами по доходам:</w:t>
      </w:r>
    </w:p>
    <w:p w14:paraId="79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34"/>
        <w:gridCol w:w="2897"/>
        <w:gridCol w:w="2897"/>
      </w:tblGrid>
      <w:tr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Показатель: эффективность управления дебиторской задолженностью ГРБС (Эд),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%.</w:t>
            </w:r>
          </w:p>
          <w:p w14:paraId="7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(100 x (гр1 / гр2))</w:t>
            </w:r>
          </w:p>
        </w:tc>
      </w:tr>
      <w:tr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>
        <w:tc>
          <w:tcPr>
            <w:tcW w:type="dxa" w:w="3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type="dxa" w:w="2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14:paraId="84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85000000">
      <w:pPr>
        <w:pStyle w:val="Style_2"/>
        <w:ind/>
        <w:jc w:val="center"/>
        <w:outlineLvl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</w:t>
      </w:r>
      <w:r>
        <w:rPr>
          <w:rFonts w:ascii="Arial" w:hAnsi="Arial"/>
          <w:sz w:val="24"/>
        </w:rPr>
        <w:t>Качество управления активами</w:t>
      </w:r>
    </w:p>
    <w:p w14:paraId="86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87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13" w:name="P693"/>
      <w:bookmarkEnd w:id="13"/>
      <w:bookmarkStart w:id="14" w:name="_Hlk32055121"/>
      <w:r>
        <w:rPr>
          <w:rFonts w:ascii="Arial" w:hAnsi="Arial"/>
          <w:sz w:val="24"/>
        </w:rPr>
        <w:t xml:space="preserve">4.1. </w:t>
      </w:r>
      <w:r>
        <w:rPr>
          <w:rFonts w:ascii="Arial" w:hAnsi="Arial"/>
          <w:sz w:val="24"/>
        </w:rPr>
        <w:t xml:space="preserve">Недостачи и хищения денежных средств и материальных ценностей </w:t>
      </w:r>
    </w:p>
    <w:p w14:paraId="88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Отсутствие недостач __ДА_________(да/нет)</w:t>
      </w:r>
    </w:p>
    <w:p w14:paraId="89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Наличие недостач _____НЕТ_______ (пояснения)</w:t>
      </w:r>
    </w:p>
    <w:p w14:paraId="8A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End w:id="14"/>
    </w:p>
    <w:p w14:paraId="8B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Start w:id="15" w:name="_Hlk32215609"/>
      <w:r>
        <w:rPr>
          <w:rFonts w:ascii="Arial" w:hAnsi="Arial"/>
          <w:sz w:val="24"/>
        </w:rPr>
        <w:t xml:space="preserve">4.2. Нарушения при управлении и распоряжении муниципальной собственностью </w:t>
      </w:r>
    </w:p>
    <w:p w14:paraId="8C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Отсутствие нарушений _______ДА____(да/нет)</w:t>
      </w:r>
    </w:p>
    <w:p w14:paraId="8D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Наличие нарушений _______НЕТ_____ (пояснения)</w:t>
      </w:r>
    </w:p>
    <w:p w14:paraId="8E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End w:id="15"/>
    </w:p>
    <w:p w14:paraId="8F000000">
      <w:pPr>
        <w:pStyle w:val="Style_2"/>
        <w:ind w:firstLine="540" w:left="0"/>
        <w:jc w:val="center"/>
        <w:rPr>
          <w:rFonts w:ascii="Arial" w:hAnsi="Arial"/>
          <w:sz w:val="24"/>
        </w:rPr>
      </w:pPr>
      <w:bookmarkStart w:id="16" w:name="_Hlk32055661"/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Контроль за правомерностью использования бюджетных средств</w:t>
      </w:r>
    </w:p>
    <w:p w14:paraId="90000000">
      <w:pPr>
        <w:pStyle w:val="Style_2"/>
        <w:ind w:firstLine="540" w:left="0"/>
        <w:jc w:val="center"/>
        <w:rPr>
          <w:rFonts w:ascii="Arial" w:hAnsi="Arial"/>
          <w:sz w:val="24"/>
        </w:rPr>
      </w:pPr>
    </w:p>
    <w:p w14:paraId="91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392"/>
        <w:gridCol w:w="1227"/>
        <w:gridCol w:w="1516"/>
        <w:gridCol w:w="855"/>
        <w:gridCol w:w="981"/>
        <w:gridCol w:w="1734"/>
        <w:gridCol w:w="1468"/>
      </w:tblGrid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Порядковый номер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Вид документа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Принявший орган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Номер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 вступления в силу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действия</w:t>
            </w:r>
          </w:p>
        </w:tc>
      </w:tr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Постановление</w:t>
            </w:r>
          </w:p>
        </w:tc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2"/>
              <w:rPr>
                <w:rFonts w:ascii="Arial" w:hAnsi="Arial"/>
                <w:b w:val="0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none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26.12.2019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165</w:t>
            </w:r>
          </w:p>
        </w:tc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26.12.2019</w:t>
            </w:r>
          </w:p>
        </w:tc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бессрочно</w:t>
            </w:r>
          </w:p>
        </w:tc>
      </w:tr>
    </w:tbl>
    <w:p w14:paraId="A7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A8000000">
      <w:pPr>
        <w:pStyle w:val="Style_2"/>
        <w:ind w:firstLine="540" w:left="0"/>
        <w:jc w:val="both"/>
        <w:rPr>
          <w:rFonts w:ascii="Arial" w:hAnsi="Arial"/>
          <w:sz w:val="24"/>
        </w:rPr>
      </w:pPr>
      <w:bookmarkEnd w:id="16"/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14:paraId="A9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AA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Указывается краткая характеристика нарушений (при наличии), сумма выявленных нарушений,  0 тыс. рублей.</w:t>
      </w:r>
    </w:p>
    <w:p w14:paraId="AB000000">
      <w:pPr>
        <w:pStyle w:val="Style_2"/>
        <w:ind w:firstLine="540" w:left="0"/>
        <w:jc w:val="center"/>
        <w:rPr>
          <w:rFonts w:ascii="Arial" w:hAnsi="Arial"/>
          <w:sz w:val="24"/>
        </w:rPr>
      </w:pPr>
    </w:p>
    <w:p w14:paraId="AC000000">
      <w:pPr>
        <w:pStyle w:val="Style_2"/>
        <w:ind w:firstLine="540" w:left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6. Качество осуществления закупок товаров, работ, услуг для обеспечения муниципальных нужд</w:t>
      </w:r>
    </w:p>
    <w:p w14:paraId="AD000000">
      <w:pPr>
        <w:pStyle w:val="Style_2"/>
        <w:ind w:firstLine="540" w:left="0"/>
        <w:jc w:val="center"/>
        <w:rPr>
          <w:rFonts w:ascii="Arial" w:hAnsi="Arial"/>
          <w:sz w:val="24"/>
        </w:rPr>
      </w:pPr>
    </w:p>
    <w:p w14:paraId="AE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.1. Выявленные органами контроля нарушения в сфере закупок для муниципальных нужд, осуществляемых ГАБС</w:t>
      </w:r>
    </w:p>
    <w:p w14:paraId="AF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392"/>
        <w:gridCol w:w="1227"/>
        <w:gridCol w:w="1333"/>
        <w:gridCol w:w="992"/>
        <w:gridCol w:w="981"/>
        <w:gridCol w:w="3201"/>
      </w:tblGrid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Порядковый номер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Вид документа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Принявший орган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Номер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Краткий обзор выявленных нарушений</w:t>
            </w:r>
          </w:p>
        </w:tc>
      </w:tr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2"/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отсутствуют</w:t>
            </w:r>
          </w:p>
        </w:tc>
      </w:tr>
    </w:tbl>
    <w:p w14:paraId="C2000000">
      <w:pPr>
        <w:pStyle w:val="Style_2"/>
        <w:ind w:firstLine="540" w:left="0"/>
        <w:jc w:val="both"/>
        <w:rPr>
          <w:rFonts w:ascii="Arial" w:hAnsi="Arial"/>
          <w:sz w:val="24"/>
        </w:rPr>
      </w:pPr>
    </w:p>
    <w:p w14:paraId="C3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.2. Использование конкурентных способов закупок товаров, работ, услуг</w:t>
      </w:r>
      <w:r>
        <w:rPr>
          <w:rFonts w:ascii="Arial" w:hAnsi="Arial"/>
          <w:sz w:val="24"/>
        </w:rPr>
        <w:t xml:space="preserve"> ГАБС</w:t>
      </w:r>
      <w:r>
        <w:rPr>
          <w:rFonts w:ascii="Arial" w:hAnsi="Arial"/>
          <w:sz w:val="24"/>
        </w:rPr>
        <w:t>, экономия средств</w:t>
      </w:r>
    </w:p>
    <w:p w14:paraId="C4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Количество проведенных торгов_1 (единиц)</w:t>
      </w:r>
    </w:p>
    <w:p w14:paraId="C5000000">
      <w:pPr>
        <w:pStyle w:val="Style_2"/>
        <w:ind w:firstLine="540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Общая сумма экономии бюджетных средств 0 (тыс. рублей)</w:t>
      </w:r>
    </w:p>
    <w:p w14:paraId="C6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7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Глава Молотычевского сельсовета ______________ О.М. Кретова</w:t>
      </w:r>
    </w:p>
    <w:p w14:paraId="C9000000">
      <w:pPr>
        <w:rPr>
          <w:rFonts w:ascii="Arial" w:hAnsi="Arial"/>
          <w:sz w:val="24"/>
        </w:rPr>
      </w:pPr>
    </w:p>
    <w:p w14:paraId="CA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Начальник отдела                             ______________ Н.А. Ефремова</w:t>
      </w:r>
    </w:p>
    <w:p w14:paraId="CB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C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D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E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CF000000">
      <w:pPr>
        <w:pStyle w:val="Style_2"/>
        <w:ind/>
        <w:jc w:val="right"/>
        <w:outlineLvl w:val="1"/>
        <w:rPr>
          <w:rFonts w:ascii="Arial" w:hAnsi="Arial"/>
          <w:sz w:val="24"/>
        </w:rPr>
      </w:pPr>
    </w:p>
    <w:p w14:paraId="D0000000">
      <w:pPr>
        <w:sectPr>
          <w:footerReference r:id="rId2" w:type="default"/>
          <w:pgSz w:h="16838" w:orient="portrait" w:w="11905"/>
          <w:pgMar w:bottom="680" w:footer="0" w:gutter="0" w:header="0" w:left="1588" w:right="680" w:top="851"/>
          <w:titlePg/>
        </w:sectPr>
      </w:pPr>
    </w:p>
    <w:sectPr>
      <w:footerReference r:id="rId1" w:type="default"/>
      <w:pgSz w:h="11905" w:orient="landscape" w:w="16838"/>
      <w:pgMar w:bottom="1135" w:footer="0" w:gutter="0" w:header="0" w:left="1134" w:right="1134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aption"/>
    <w:basedOn w:val="Style_4"/>
    <w:next w:val="Style_4"/>
    <w:link w:val="Style_6_ch"/>
    <w:pPr>
      <w:ind/>
      <w:jc w:val="center"/>
    </w:pPr>
    <w:rPr>
      <w:b w:val="1"/>
      <w:sz w:val="32"/>
    </w:rPr>
  </w:style>
  <w:style w:styleId="Style_6_ch" w:type="character">
    <w:name w:val="caption"/>
    <w:basedOn w:val="Style_4_ch"/>
    <w:link w:val="Style_6"/>
    <w:rPr>
      <w:b w:val="1"/>
      <w:sz w:val="32"/>
    </w:rPr>
  </w:style>
  <w:style w:styleId="Style_7" w:type="paragraph">
    <w:name w:val="ConsPlusCell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Cell"/>
    <w:link w:val="Style_7"/>
    <w:rPr>
      <w:rFonts w:ascii="Courier New" w:hAnsi="Courier New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sz w:val="26"/>
    </w:rPr>
  </w:style>
  <w:style w:styleId="Style_15_ch" w:type="character">
    <w:name w:val="ConsPlusJurTerm"/>
    <w:link w:val="Style_15"/>
    <w:rPr>
      <w:rFonts w:ascii="Tahoma" w:hAnsi="Tahoma"/>
      <w:sz w:val="26"/>
    </w:rPr>
  </w:style>
  <w:style w:styleId="Style_16" w:type="paragraph">
    <w:name w:val="ConsPlusDocList"/>
    <w:link w:val="Style_16_ch"/>
    <w:pPr>
      <w:widowControl w:val="0"/>
      <w:ind/>
    </w:pPr>
    <w:rPr>
      <w:sz w:val="22"/>
    </w:rPr>
  </w:style>
  <w:style w:styleId="Style_16_ch" w:type="character">
    <w:name w:val="ConsPlusDocList"/>
    <w:link w:val="Style_16"/>
    <w:rPr>
      <w:sz w:val="22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ind w:firstLine="426" w:left="0"/>
      <w:jc w:val="both"/>
      <w:outlineLvl w:val="0"/>
    </w:pPr>
    <w:rPr>
      <w:sz w:val="28"/>
    </w:rPr>
  </w:style>
  <w:style w:styleId="Style_18_ch" w:type="character">
    <w:name w:val="heading 1"/>
    <w:basedOn w:val="Style_4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Title"/>
    <w:link w:val="Style_23_ch"/>
    <w:pPr>
      <w:widowControl w:val="0"/>
      <w:ind/>
    </w:pPr>
    <w:rPr>
      <w:b w:val="1"/>
      <w:sz w:val="22"/>
    </w:rPr>
  </w:style>
  <w:style w:styleId="Style_23_ch" w:type="character">
    <w:name w:val="ConsPlusTitle"/>
    <w:link w:val="Style_23"/>
    <w:rPr>
      <w:b w:val="1"/>
      <w:sz w:val="22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"/>
    <w:basedOn w:val="Style_4"/>
    <w:link w:val="Style_25_ch"/>
    <w:pPr>
      <w:ind/>
      <w:jc w:val="both"/>
    </w:pPr>
    <w:rPr>
      <w:sz w:val="28"/>
    </w:rPr>
  </w:style>
  <w:style w:styleId="Style_25_ch" w:type="character">
    <w:name w:val="Body Text"/>
    <w:basedOn w:val="Style_4_ch"/>
    <w:link w:val="Style_25"/>
    <w:rPr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TextList"/>
    <w:link w:val="Style_27_ch"/>
    <w:pPr>
      <w:widowControl w:val="0"/>
      <w:ind/>
    </w:pPr>
    <w:rPr>
      <w:rFonts w:ascii="Arial" w:hAnsi="Arial"/>
    </w:rPr>
  </w:style>
  <w:style w:styleId="Style_27_ch" w:type="character">
    <w:name w:val="ConsPlusTextList"/>
    <w:link w:val="Style_27"/>
    <w:rPr>
      <w:rFonts w:ascii="Arial" w:hAnsi="Arial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header"/>
    <w:basedOn w:val="Style_4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4_ch"/>
    <w:link w:val="Style_29"/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ConsPlusTitlePage"/>
    <w:link w:val="Style_34_ch"/>
    <w:pPr>
      <w:widowControl w:val="0"/>
      <w:ind/>
    </w:pPr>
    <w:rPr>
      <w:rFonts w:ascii="Tahoma" w:hAnsi="Tahoma"/>
    </w:rPr>
  </w:style>
  <w:style w:styleId="Style_34_ch" w:type="character">
    <w:name w:val="ConsPlusTitlePage"/>
    <w:link w:val="Style_34"/>
    <w:rPr>
      <w:rFonts w:ascii="Tahoma" w:hAnsi="Tahoma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heading 6"/>
    <w:basedOn w:val="Style_4"/>
    <w:next w:val="Style_4"/>
    <w:link w:val="Style_36_ch"/>
    <w:uiPriority w:val="9"/>
    <w:qFormat/>
    <w:pPr>
      <w:keepNext w:val="1"/>
      <w:ind/>
      <w:jc w:val="center"/>
      <w:outlineLvl w:val="5"/>
    </w:pPr>
    <w:rPr>
      <w:b w:val="1"/>
      <w:sz w:val="44"/>
    </w:rPr>
  </w:style>
  <w:style w:styleId="Style_36_ch" w:type="character">
    <w:name w:val="heading 6"/>
    <w:basedOn w:val="Style_4_ch"/>
    <w:link w:val="Style_36"/>
    <w:rPr>
      <w:b w:val="1"/>
      <w:sz w:val="4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2025-05-16T13:04:57Z</dcterms:modified>
</cp:coreProperties>
</file>