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Arial" w:hAnsi="Arial"/>
          <w:sz w:val="60"/>
        </w:rPr>
      </w:pPr>
      <w:r>
        <w:rPr>
          <w:sz w:val="28"/>
        </w:rPr>
        <w:t xml:space="preserve">   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60"/>
        </w:rPr>
        <w:t xml:space="preserve">   </w:t>
      </w:r>
      <w:r>
        <w:rPr>
          <w:rFonts w:ascii="Arial" w:hAnsi="Arial"/>
          <w:b w:val="1"/>
          <w:sz w:val="60"/>
        </w:rPr>
        <w:t>Паспорт</w:t>
      </w:r>
    </w:p>
    <w:p w14:paraId="02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муниципальной программы</w:t>
      </w:r>
    </w:p>
    <w:p w14:paraId="03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«Развитие муниципальной службы </w:t>
      </w:r>
      <w:r>
        <w:rPr>
          <w:rFonts w:ascii="Arial" w:hAnsi="Arial"/>
          <w:b w:val="1"/>
          <w:sz w:val="24"/>
        </w:rPr>
        <w:t xml:space="preserve">в </w:t>
      </w:r>
      <w:r>
        <w:rPr>
          <w:rFonts w:ascii="Arial" w:hAnsi="Arial"/>
          <w:b w:val="1"/>
          <w:sz w:val="24"/>
        </w:rPr>
        <w:t>Молотычевском</w:t>
      </w:r>
      <w:r>
        <w:rPr>
          <w:rFonts w:ascii="Arial" w:hAnsi="Arial"/>
          <w:b w:val="1"/>
          <w:sz w:val="24"/>
        </w:rPr>
        <w:t xml:space="preserve"> сельсовете</w:t>
      </w:r>
    </w:p>
    <w:p w14:paraId="04000000">
      <w:pPr>
        <w:widowControl w:val="1"/>
        <w:spacing w:after="0" w:line="240" w:lineRule="auto"/>
        <w:ind w:firstLine="0" w:left="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Фатежского района Курской области</w:t>
      </w:r>
      <w:r>
        <w:rPr>
          <w:rFonts w:ascii="Arial" w:hAnsi="Arial"/>
          <w:b w:val="1"/>
          <w:sz w:val="24"/>
        </w:rPr>
        <w:t>»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(</w:t>
      </w:r>
      <w:r>
        <w:rPr>
          <w:rFonts w:ascii="Arial" w:hAnsi="Arial"/>
          <w:b w:val="1"/>
          <w:sz w:val="24"/>
        </w:rPr>
        <w:t xml:space="preserve">на 2019 -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годы)</w:t>
      </w: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8"/>
        </w:rPr>
      </w:pPr>
    </w:p>
    <w:tbl>
      <w:tblPr>
        <w:tblInd w:type="dxa" w:w="25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3211"/>
        <w:gridCol w:w="1669"/>
        <w:gridCol w:w="5485"/>
      </w:tblGrid>
      <w:tr>
        <w:trPr>
          <w:trHeight w:hRule="atLeast" w:val="502"/>
        </w:trPr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муниципальной программы</w:t>
            </w:r>
          </w:p>
        </w:tc>
        <w:tc>
          <w:tcPr>
            <w:tcW w:type="dxa" w:w="7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«Развитие муниципальной службы в </w:t>
            </w:r>
            <w:r>
              <w:rPr>
                <w:rFonts w:ascii="Arial" w:hAnsi="Arial"/>
                <w:b w:val="1"/>
              </w:rPr>
              <w:t>Молотычевском</w:t>
            </w:r>
            <w:r>
              <w:rPr>
                <w:rFonts w:ascii="Arial" w:hAnsi="Arial"/>
                <w:b w:val="1"/>
              </w:rPr>
              <w:t xml:space="preserve"> сельсовете Фатежского района Курской </w:t>
            </w:r>
            <w:r>
              <w:rPr>
                <w:rFonts w:ascii="Arial" w:hAnsi="Arial"/>
                <w:b w:val="1"/>
              </w:rPr>
              <w:t xml:space="preserve">области»  </w:t>
            </w:r>
            <w:r>
              <w:rPr>
                <w:rFonts w:ascii="Arial" w:hAnsi="Arial"/>
                <w:b w:val="1"/>
              </w:rPr>
              <w:t>на</w:t>
            </w:r>
            <w:r>
              <w:rPr>
                <w:rFonts w:ascii="Arial" w:hAnsi="Arial"/>
                <w:b w:val="1"/>
              </w:rPr>
              <w:t xml:space="preserve"> 2019-</w:t>
            </w:r>
            <w:r>
              <w:rPr>
                <w:rFonts w:ascii="Arial" w:hAnsi="Arial"/>
                <w:b w:val="1"/>
              </w:rPr>
              <w:t>202</w:t>
            </w:r>
            <w:r>
              <w:rPr>
                <w:rFonts w:ascii="Arial" w:hAnsi="Arial"/>
                <w:b w:val="1"/>
              </w:rPr>
              <w:t>6</w:t>
            </w:r>
            <w:r>
              <w:rPr>
                <w:rFonts w:ascii="Arial" w:hAnsi="Arial"/>
                <w:b w:val="1"/>
              </w:rPr>
              <w:t xml:space="preserve"> годы</w:t>
            </w:r>
          </w:p>
          <w:p w14:paraId="0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Цели муниципальной</w:t>
            </w:r>
          </w:p>
          <w:p w14:paraId="0A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Развитие и совершенствование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Задачи муниципальной</w:t>
            </w:r>
          </w:p>
          <w:p w14:paraId="0D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Совершенствование нормативной правовой базы по вопросам развития муниципальной службы в рамках законодательства о муниципальной службе;</w:t>
            </w:r>
          </w:p>
          <w:p w14:paraId="0F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Формирование эффективных механизмов подбора кадров для муниципальной службы</w:t>
            </w:r>
          </w:p>
          <w:p w14:paraId="10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Создание условий для профессионального развития и подготовки кадров</w:t>
            </w:r>
          </w:p>
          <w:p w14:paraId="11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-Совершенствование технологии объективной оценки служебной деятельности муниципальных служащих</w:t>
            </w:r>
          </w:p>
          <w:p w14:paraId="12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Осуществление контроля за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Исполнитель муниципальной программы 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Молотычевского</w:t>
            </w:r>
            <w:r>
              <w:rPr>
                <w:rFonts w:ascii="Arial" w:hAnsi="Arial"/>
              </w:rPr>
              <w:t xml:space="preserve"> сельсовета Фатежского района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Сроки реализации муниципальной 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2019 - </w:t>
            </w:r>
            <w:r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 годы</w:t>
            </w:r>
          </w:p>
        </w:tc>
      </w:tr>
      <w:tr>
        <w:trPr>
          <w:trHeight w:hRule="atLeast" w:val="1239"/>
        </w:trPr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Перечень подпрограмм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widowControl w:val="0"/>
              <w:spacing w:after="0" w:line="240" w:lineRule="auto"/>
              <w:ind w:firstLine="709"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Подпрограмма 1: Реализация мероприятий, направленных на развитие муниципальной службы</w:t>
            </w:r>
            <w:r>
              <w:rPr>
                <w:rFonts w:ascii="Arial" w:hAnsi="Arial"/>
                <w:color w:val="000000"/>
              </w:rPr>
              <w:t>»</w:t>
            </w:r>
            <w:r>
              <w:rPr>
                <w:rFonts w:ascii="Arial" w:hAnsi="Arial"/>
                <w:color w:val="000000"/>
              </w:rPr>
              <w:t xml:space="preserve"> муниципальной программы «Развитие муниципальной службы в </w:t>
            </w:r>
            <w:r>
              <w:rPr>
                <w:rFonts w:ascii="Arial" w:hAnsi="Arial"/>
                <w:color w:val="000000"/>
              </w:rPr>
              <w:t>Молотычевском</w:t>
            </w:r>
            <w:r>
              <w:rPr>
                <w:rFonts w:ascii="Arial" w:hAnsi="Arial"/>
                <w:color w:val="000000"/>
              </w:rPr>
              <w:t xml:space="preserve"> сельсовете Фатежского района Курской </w:t>
            </w:r>
            <w:r>
              <w:rPr>
                <w:rFonts w:ascii="Arial" w:hAnsi="Arial"/>
                <w:color w:val="000000"/>
              </w:rPr>
              <w:t>области  на</w:t>
            </w:r>
            <w:r>
              <w:rPr>
                <w:rFonts w:ascii="Arial" w:hAnsi="Arial"/>
                <w:color w:val="000000"/>
              </w:rPr>
              <w:t xml:space="preserve"> 20</w:t>
            </w:r>
            <w:r>
              <w:rPr>
                <w:rFonts w:ascii="Arial" w:hAnsi="Arial"/>
                <w:color w:val="000000"/>
              </w:rPr>
              <w:t>19</w:t>
            </w:r>
            <w:r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202</w:t>
            </w:r>
            <w:r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 xml:space="preserve"> годы»</w:t>
            </w:r>
          </w:p>
        </w:tc>
      </w:tr>
      <w:tr>
        <w:trPr>
          <w:trHeight w:hRule="atLeast" w:val="502"/>
        </w:trPr>
        <w:tc>
          <w:tcPr>
            <w:tcW w:type="dxa" w:w="3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Источники финансирования </w:t>
            </w:r>
            <w:r>
              <w:rPr>
                <w:rFonts w:ascii="Arial" w:hAnsi="Arial"/>
              </w:rPr>
              <w:t>муниципальной программы, в том числе по годам:</w:t>
            </w:r>
          </w:p>
        </w:tc>
        <w:tc>
          <w:tcPr>
            <w:tcW w:type="dxa" w:w="7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(тыс. </w:t>
            </w:r>
            <w:r>
              <w:rPr>
                <w:rFonts w:ascii="Arial" w:hAnsi="Arial"/>
              </w:rPr>
              <w:t xml:space="preserve">рублей) </w:t>
            </w:r>
            <w:r>
              <w:rPr>
                <w:rFonts w:ascii="Arial" w:hAnsi="Arial"/>
              </w:rPr>
              <w:t xml:space="preserve"> -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,5</w:t>
            </w:r>
          </w:p>
        </w:tc>
      </w:tr>
      <w:tr>
        <w:trPr>
          <w:trHeight w:hRule="atLeast" w:val="753"/>
        </w:trPr>
        <w:tc>
          <w:tcPr>
            <w:tcW w:type="dxa" w:w="3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type="dxa" w:w="5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2019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9</w:t>
            </w:r>
          </w:p>
          <w:p w14:paraId="1D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2020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0,0</w:t>
            </w:r>
          </w:p>
          <w:p w14:paraId="1E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2021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9,6</w:t>
            </w:r>
          </w:p>
          <w:p w14:paraId="1F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2022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– 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,0</w:t>
            </w:r>
          </w:p>
          <w:p w14:paraId="20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– 1</w:t>
            </w:r>
            <w:r>
              <w:rPr>
                <w:rFonts w:ascii="Arial" w:hAnsi="Arial"/>
              </w:rPr>
              <w:t>0,</w:t>
            </w:r>
            <w:r>
              <w:rPr>
                <w:rFonts w:ascii="Arial" w:hAnsi="Arial"/>
              </w:rPr>
              <w:t>0</w:t>
            </w:r>
          </w:p>
          <w:p w14:paraId="21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  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  <w:p w14:paraId="22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  1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  <w:p w14:paraId="23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2026 </w:t>
            </w:r>
            <w:r>
              <w:rPr>
                <w:rFonts w:ascii="Arial" w:hAnsi="Arial"/>
              </w:rPr>
              <w:t>-  10</w:t>
            </w:r>
            <w:r>
              <w:rPr>
                <w:rFonts w:ascii="Arial" w:hAnsi="Arial"/>
              </w:rPr>
              <w:t>,0</w:t>
            </w:r>
          </w:p>
        </w:tc>
      </w:tr>
      <w:tr>
        <w:trPr>
          <w:trHeight w:hRule="atLeast" w:val="502"/>
        </w:trPr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бюджета сельского поселения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,5</w:t>
            </w:r>
          </w:p>
        </w:tc>
        <w:tc>
          <w:tcPr>
            <w:tcW w:type="dxa" w:w="5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,5</w:t>
            </w:r>
          </w:p>
        </w:tc>
      </w:tr>
      <w:tr>
        <w:trPr>
          <w:trHeight w:hRule="atLeast" w:val="565"/>
          <w:hidden w:val="0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Средства областного городского бюджета</w:t>
            </w:r>
          </w:p>
        </w:tc>
        <w:tc>
          <w:tcPr>
            <w:tcW w:type="dxa" w:w="16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type="dxa" w:w="5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>
          <w:trHeight w:hRule="atLeast" w:val="1247"/>
          <w:hidden w:val="0"/>
        </w:trPr>
        <w:tc>
          <w:tcPr>
            <w:tcW w:type="dxa" w:w="3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spacing w:after="0" w:line="24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Планируемые результаты    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реализации муниципальной программы</w:t>
            </w:r>
          </w:p>
        </w:tc>
        <w:tc>
          <w:tcPr>
            <w:tcW w:type="dxa" w:w="715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Создание совершенной нормативной правовой базы по вопросам муниципальной службы.</w:t>
            </w:r>
          </w:p>
          <w:p w14:paraId="2C000000">
            <w:pPr>
              <w:spacing w:after="0" w:line="240" w:lineRule="auto"/>
              <w:ind w:firstLine="709"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</w:rPr>
              <w:t>Создание условий для профессионального развития и подготовки кадров муниципальной службы.</w:t>
            </w:r>
          </w:p>
        </w:tc>
      </w:tr>
    </w:tbl>
    <w:p w14:paraId="2D000000">
      <w:pPr>
        <w:widowControl w:val="0"/>
        <w:spacing w:after="0" w:line="240" w:lineRule="auto"/>
        <w:ind/>
        <w:jc w:val="center"/>
        <w:outlineLvl w:val="1"/>
        <w:rPr>
          <w:rFonts w:ascii="Arial" w:hAnsi="Arial"/>
          <w:b w:val="1"/>
        </w:rPr>
      </w:pPr>
    </w:p>
    <w:sectPr>
      <w:pgSz w:h="16848" w:orient="portrait" w:w="11908"/>
      <w:pgMar w:bottom="85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2023-11-10T13:37:36Z</dcterms:modified>
</cp:coreProperties>
</file>