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ПАСПОРТ</w:t>
      </w:r>
    </w:p>
    <w:p w14:paraId="02000000">
      <w:pPr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60"/>
        </w:rPr>
      </w:pPr>
    </w:p>
    <w:p w14:paraId="03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муниципальной Программы </w:t>
      </w:r>
      <w:r>
        <w:rPr>
          <w:rFonts w:ascii="Times New Roman" w:hAnsi="Times New Roman"/>
          <w:b w:val="1"/>
          <w:sz w:val="32"/>
        </w:rPr>
        <w:t xml:space="preserve">Молотычевского сельсовета </w:t>
      </w:r>
      <w:r>
        <w:rPr>
          <w:rFonts w:ascii="Times New Roman" w:hAnsi="Times New Roman"/>
          <w:b w:val="1"/>
          <w:sz w:val="32"/>
        </w:rPr>
        <w:t>Фатежского района Курской области</w:t>
      </w:r>
    </w:p>
    <w:p w14:paraId="0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«Защита населения и территории от черезвычайных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b w:val="1"/>
          <w:sz w:val="28"/>
        </w:rPr>
        <w:t xml:space="preserve"> в Молотычевском сельсовете Фатежског</w:t>
      </w:r>
      <w:r>
        <w:rPr>
          <w:rFonts w:ascii="Times New Roman" w:hAnsi="Times New Roman"/>
          <w:b w:val="1"/>
          <w:sz w:val="28"/>
        </w:rPr>
        <w:t>о района Курской области</w:t>
      </w:r>
      <w:r>
        <w:rPr>
          <w:rFonts w:ascii="Times New Roman" w:hAnsi="Times New Roman"/>
          <w:b w:val="1"/>
          <w:sz w:val="28"/>
        </w:rPr>
        <w:t>»</w:t>
      </w:r>
    </w:p>
    <w:p w14:paraId="05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2014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 xml:space="preserve">6 </w:t>
      </w:r>
      <w:r>
        <w:rPr>
          <w:rFonts w:ascii="Times New Roman" w:hAnsi="Times New Roman"/>
          <w:b w:val="1"/>
          <w:sz w:val="28"/>
        </w:rPr>
        <w:t>годы)</w:t>
      </w:r>
    </w:p>
    <w:p w14:paraId="06000000">
      <w:pPr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63"/>
        <w:gridCol w:w="7181"/>
      </w:tblGrid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Молотычевского сельсовета Фатежского района 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602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жители Молотычевского сельсовета Фатежского района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Подпрограмма Программы</w:t>
            </w:r>
          </w:p>
        </w:tc>
        <w:tc>
          <w:tcPr>
            <w:tcW w:type="dxa" w:w="718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29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Программно-целевые инструменты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 w:firstLine="1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1833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комплексной безопасности, минимизации социального, экономического и экологического ущерба наносимого населению,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ЧС природного и техногенного характера, пожаров, происшествий на водных объектах;</w:t>
            </w:r>
          </w:p>
          <w:p w14:paraId="13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создание необходимых </w:t>
            </w:r>
            <w:r>
              <w:rPr>
                <w:rFonts w:ascii="Times New Roman" w:hAnsi="Times New Roman"/>
                <w:sz w:val="24"/>
              </w:rPr>
              <w:t>условий для обеспечения пожарной безопасности защиты жизни и здоровья граждан;</w:t>
            </w:r>
          </w:p>
          <w:p w14:paraId="14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-сокращение времени реагирования подразделений ДПК и ДПД на пожары;</w:t>
            </w:r>
          </w:p>
          <w:p w14:paraId="15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-оснащение учреждений социальной сферы системами пожарной автоматики;</w:t>
            </w:r>
          </w:p>
          <w:p w14:paraId="16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улучшение материальной базы учебного процесса по вопросам гражданской обороны и чрезвычайным ситуациям;</w:t>
            </w:r>
          </w:p>
          <w:p w14:paraId="17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создание резервов (запасов) материальных ресурсов для ликвидации чрезвычайных ситуаций и в особый период;</w:t>
            </w:r>
          </w:p>
          <w:p w14:paraId="18000000">
            <w:pPr>
              <w:widowControl w:val="0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повышение подготовленности к жизнеобеспечению населения от чрезвычайных си</w:t>
            </w:r>
            <w:r>
              <w:rPr>
                <w:rFonts w:ascii="Times New Roman" w:hAnsi="Times New Roman"/>
                <w:sz w:val="24"/>
              </w:rPr>
              <w:t>туаций в Молотычевском сельсовете Фатежского района Курской области.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объема знаний и навыков в области пожарной безопасности руководителей, должностных лиц и с</w:t>
            </w:r>
            <w:r>
              <w:rPr>
                <w:rFonts w:ascii="Times New Roman" w:hAnsi="Times New Roman"/>
                <w:sz w:val="24"/>
              </w:rPr>
              <w:t>пециалистов, педагогов, воспитателей, а также выпускников об</w:t>
            </w:r>
            <w:r>
              <w:rPr>
                <w:rFonts w:ascii="Times New Roman" w:hAnsi="Times New Roman"/>
                <w:sz w:val="24"/>
              </w:rPr>
              <w:t>разовательных учреждений;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работы по предупреждению и</w:t>
            </w:r>
            <w:r>
              <w:rPr>
                <w:rFonts w:ascii="Times New Roman" w:hAnsi="Times New Roman"/>
                <w:sz w:val="24"/>
              </w:rPr>
              <w:t xml:space="preserve"> пресечению нарушений требований пожарной безопасности и правил поведения на воде;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улучшение материально-технической базы оперативной группы КЧС и ОПБ Администрации Молотычевского сельсовета Фатежского района 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информирование населения о правилах поведения </w:t>
            </w:r>
            <w:r>
              <w:rPr>
                <w:rFonts w:ascii="Times New Roman" w:hAnsi="Times New Roman"/>
                <w:sz w:val="24"/>
              </w:rPr>
              <w:t>и действиях в чрезвычайных ситуациях;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-создание материальных резервов для ликвидации чр</w:t>
            </w:r>
            <w:r>
              <w:rPr>
                <w:rFonts w:ascii="Times New Roman" w:hAnsi="Times New Roman"/>
                <w:sz w:val="24"/>
              </w:rPr>
              <w:t>езвычайных ситуаций;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восполнение на муниципальном уровне по истечении срока хранения индивидуальных средств защиты для работников муниципальных учреждений и организаций;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движения; повышение эффективности реагирования на чрезвычайные ситуации любого характера.</w:t>
            </w:r>
          </w:p>
          <w:p w14:paraId="2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на муниципальном уровне выполнения мероприятий по защ</w:t>
            </w:r>
            <w:r>
              <w:rPr>
                <w:rFonts w:ascii="Times New Roman" w:hAnsi="Times New Roman"/>
                <w:sz w:val="24"/>
              </w:rPr>
              <w:t>ите населения при опасностях, возникающих при ведении военных действий или вследствие этих действий, при угрозе возникновения или возникновении чрезвычайных ситуаций на территории Молотычевского сельсовета Фатежского района; организация выдач СИЗ населению Молотычевского сельсовета Фатежск</w:t>
            </w:r>
            <w:r>
              <w:rPr>
                <w:rFonts w:ascii="Times New Roman" w:hAnsi="Times New Roman"/>
                <w:sz w:val="24"/>
              </w:rPr>
              <w:t>ого района в установленном порядке.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индикаторы и показатели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уменьшение количества пожаров, снижение рисков возникновения и</w:t>
            </w:r>
            <w:r>
              <w:rPr>
                <w:rFonts w:ascii="Times New Roman" w:hAnsi="Times New Roman"/>
                <w:sz w:val="24"/>
              </w:rPr>
              <w:t xml:space="preserve"> смягчение последствий чрезвычайных ситуаций;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необходимых условий дл</w:t>
            </w:r>
            <w:r>
              <w:rPr>
                <w:rFonts w:ascii="Times New Roman" w:hAnsi="Times New Roman"/>
                <w:sz w:val="24"/>
              </w:rPr>
              <w:t>я обеспечения пожарной безопасности, защиты жизни и здоровья граждан;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оснащение учреждений социальной сферы системами пожарной автоматики;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</w:t>
            </w:r>
            <w:r>
              <w:rPr>
                <w:rFonts w:ascii="Times New Roman" w:hAnsi="Times New Roman"/>
                <w:sz w:val="24"/>
              </w:rPr>
              <w:t>ие числа погибших в результате своевременной помощи пострадавшим;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работы по предупреждению правонарушений на водных объектах;</w:t>
            </w:r>
          </w:p>
          <w:p w14:paraId="2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материальной базы учебного процесса по вопросам гражданской обороны и чрезвычайным ситуациям.</w:t>
            </w:r>
          </w:p>
        </w:tc>
      </w:tr>
      <w:tr>
        <w:trPr>
          <w:trHeight w:hRule="atLeast" w:val="1152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  <w:sz w:val="24"/>
              </w:rPr>
            </w:pPr>
          </w:p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 и срок</w:t>
            </w:r>
            <w:r>
              <w:rPr>
                <w:rFonts w:ascii="Times New Roman" w:hAnsi="Times New Roman"/>
                <w:sz w:val="24"/>
              </w:rPr>
              <w:t>и реализации Программы</w:t>
            </w:r>
          </w:p>
          <w:p w14:paraId="2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 w:firstLine="10" w:left="0"/>
              <w:rPr>
                <w:rFonts w:ascii="Times New Roman" w:hAnsi="Times New Roman"/>
                <w:sz w:val="24"/>
              </w:rPr>
            </w:pPr>
          </w:p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бюджетных ассигнований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Источниками финансирования Программы являются средства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</w:t>
            </w:r>
          </w:p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Общий объем финансирования Про</w:t>
            </w:r>
            <w:r>
              <w:rPr>
                <w:rFonts w:ascii="Times New Roman" w:hAnsi="Times New Roman"/>
                <w:sz w:val="24"/>
              </w:rPr>
              <w:t xml:space="preserve">граммы составляет </w:t>
            </w:r>
          </w:p>
          <w:p w14:paraId="3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>000</w:t>
            </w:r>
            <w:r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14:paraId="3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2014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3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3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2015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3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3C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3D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2016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3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2017 год</w:t>
            </w:r>
          </w:p>
          <w:p w14:paraId="4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</w:t>
            </w:r>
            <w:r>
              <w:rPr>
                <w:rFonts w:ascii="Times New Roman" w:hAnsi="Times New Roman"/>
                <w:sz w:val="24"/>
              </w:rPr>
              <w:t>кий се</w:t>
            </w:r>
            <w:r>
              <w:rPr>
                <w:rFonts w:ascii="Times New Roman" w:hAnsi="Times New Roman"/>
                <w:sz w:val="24"/>
              </w:rPr>
              <w:t>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2018 год</w:t>
            </w:r>
          </w:p>
          <w:p w14:paraId="4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2019 год</w:t>
            </w:r>
          </w:p>
          <w:p w14:paraId="4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</w:t>
            </w:r>
            <w:r>
              <w:rPr>
                <w:rFonts w:ascii="Times New Roman" w:hAnsi="Times New Roman"/>
                <w:sz w:val="24"/>
              </w:rPr>
              <w:t>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2020 год</w:t>
            </w:r>
          </w:p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</w:t>
            </w:r>
            <w:r>
              <w:rPr>
                <w:rFonts w:ascii="Times New Roman" w:hAnsi="Times New Roman"/>
                <w:sz w:val="24"/>
              </w:rPr>
              <w:t>а муниципального образован</w:t>
            </w:r>
            <w:r>
              <w:rPr>
                <w:rFonts w:ascii="Times New Roman" w:hAnsi="Times New Roman"/>
                <w:sz w:val="24"/>
              </w:rPr>
              <w:t>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3000  руб.</w:t>
            </w:r>
          </w:p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2023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</w:t>
            </w:r>
            <w:r>
              <w:rPr>
                <w:rFonts w:ascii="Times New Roman" w:hAnsi="Times New Roman"/>
                <w:sz w:val="24"/>
              </w:rPr>
              <w:t>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3000  руб.</w:t>
            </w:r>
          </w:p>
          <w:p w14:paraId="5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2024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 xml:space="preserve">йона Курской области </w:t>
            </w:r>
            <w:r>
              <w:rPr>
                <w:rFonts w:ascii="Times New Roman" w:hAnsi="Times New Roman"/>
                <w:b w:val="1"/>
                <w:sz w:val="24"/>
              </w:rPr>
              <w:t>3000  руб.</w:t>
            </w:r>
          </w:p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бюджета муниципального образования «Молотычевский сельсовет» Фатежского района Курской области </w:t>
            </w:r>
            <w:r>
              <w:rPr>
                <w:rFonts w:ascii="Times New Roman" w:hAnsi="Times New Roman"/>
                <w:b w:val="1"/>
                <w:sz w:val="24"/>
              </w:rPr>
              <w:t>3000  руб.</w:t>
            </w:r>
          </w:p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D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бюджета муниципального образования «Молотычевский сельсовет» Фатежского района Курской области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b w:val="1"/>
                <w:sz w:val="24"/>
              </w:rPr>
              <w:t>3000  руб.</w:t>
            </w:r>
          </w:p>
          <w:p w14:paraId="5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type="dxa" w:w="7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Основными ожидаемыми результатами реализации</w:t>
            </w:r>
          </w:p>
          <w:p w14:paraId="61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являются:    </w:t>
            </w:r>
          </w:p>
          <w:p w14:paraId="62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-уменьшение среднего времени реагирования оперативных служб при происшествии на 10 минут;</w:t>
            </w:r>
          </w:p>
          <w:p w14:paraId="63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-повышение качества подготовки безопасных ра</w:t>
            </w:r>
            <w:r>
              <w:rPr>
                <w:rFonts w:ascii="Times New Roman" w:hAnsi="Times New Roman"/>
                <w:sz w:val="24"/>
              </w:rPr>
              <w:t>йонов к размещению эвакуируемого населения, его  жизнеобеспечения, размещения материальных и культурных ценностей</w:t>
            </w:r>
          </w:p>
          <w:p w14:paraId="64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гибели людей на 27%;</w:t>
            </w:r>
          </w:p>
          <w:p w14:paraId="65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пострадавшего населения на 30%;</w:t>
            </w:r>
          </w:p>
          <w:p w14:paraId="66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увеличение количества спасенного населения </w:t>
            </w:r>
            <w:r>
              <w:rPr>
                <w:rFonts w:ascii="Times New Roman" w:hAnsi="Times New Roman"/>
                <w:sz w:val="24"/>
              </w:rPr>
              <w:t>на 30%;</w:t>
            </w:r>
          </w:p>
          <w:p w14:paraId="67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эффективности системы пожарной  безопасности;</w:t>
            </w:r>
          </w:p>
          <w:p w14:paraId="68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эффективности системы безопасности</w:t>
            </w:r>
          </w:p>
          <w:p w14:paraId="69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людей на водных объектах;</w:t>
            </w:r>
          </w:p>
          <w:p w14:paraId="6A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экономического ущерба 35%;</w:t>
            </w:r>
          </w:p>
          <w:p w14:paraId="6B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C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2023-11-10T14:46:54Z</dcterms:modified>
</cp:coreProperties>
</file>