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2C" w:rsidRDefault="00CC672C" w:rsidP="00CC672C">
      <w:pPr>
        <w:jc w:val="center"/>
        <w:rPr>
          <w:b/>
        </w:rPr>
      </w:pPr>
      <w:r>
        <w:rPr>
          <w:b/>
        </w:rPr>
        <w:t>АДМИНИСТРАЦИЯ</w:t>
      </w:r>
    </w:p>
    <w:p w:rsidR="00CC672C" w:rsidRDefault="00CC672C" w:rsidP="00CC672C">
      <w:pPr>
        <w:jc w:val="center"/>
        <w:rPr>
          <w:b/>
        </w:rPr>
      </w:pPr>
      <w:r>
        <w:rPr>
          <w:b/>
        </w:rPr>
        <w:t>МОЛОТЫЧЕВСКОГО СЕЛЬСОВЕТА</w:t>
      </w:r>
    </w:p>
    <w:p w:rsidR="00CC672C" w:rsidRDefault="00CC672C" w:rsidP="00CC672C">
      <w:pPr>
        <w:jc w:val="center"/>
        <w:rPr>
          <w:b/>
        </w:rPr>
      </w:pPr>
      <w:r>
        <w:rPr>
          <w:b/>
        </w:rPr>
        <w:t>ФАТЕЖСКОГО РАЙОНА</w:t>
      </w:r>
    </w:p>
    <w:p w:rsidR="00CC672C" w:rsidRDefault="00CC672C" w:rsidP="00CC672C">
      <w:pPr>
        <w:jc w:val="center"/>
        <w:rPr>
          <w:b/>
        </w:rPr>
      </w:pPr>
      <w:r>
        <w:rPr>
          <w:b/>
        </w:rPr>
        <w:t>КУРСКОЙ ОБЛАСТИ</w:t>
      </w:r>
    </w:p>
    <w:p w:rsidR="00CC672C" w:rsidRDefault="00CC672C" w:rsidP="00CC672C">
      <w:pPr>
        <w:jc w:val="center"/>
        <w:rPr>
          <w:b/>
        </w:rPr>
      </w:pPr>
    </w:p>
    <w:p w:rsidR="00CC672C" w:rsidRDefault="00CC672C" w:rsidP="00CC672C">
      <w:pPr>
        <w:jc w:val="center"/>
        <w:rPr>
          <w:b/>
        </w:rPr>
      </w:pPr>
    </w:p>
    <w:p w:rsidR="00CC672C" w:rsidRDefault="00CC672C" w:rsidP="00CC672C">
      <w:pPr>
        <w:jc w:val="center"/>
        <w:rPr>
          <w:b/>
        </w:rPr>
      </w:pPr>
    </w:p>
    <w:p w:rsidR="00CC672C" w:rsidRDefault="00CC672C" w:rsidP="00CC672C">
      <w:pPr>
        <w:jc w:val="center"/>
        <w:rPr>
          <w:b/>
        </w:rPr>
      </w:pPr>
      <w:r>
        <w:rPr>
          <w:b/>
        </w:rPr>
        <w:t>ГОДОВОЙ ОТЧЕТ</w:t>
      </w:r>
    </w:p>
    <w:p w:rsidR="00CC672C" w:rsidRDefault="00CC672C" w:rsidP="00CC672C">
      <w:pPr>
        <w:jc w:val="center"/>
        <w:rPr>
          <w:b/>
        </w:rPr>
      </w:pPr>
      <w:r>
        <w:rPr>
          <w:b/>
        </w:rPr>
        <w:t xml:space="preserve">о реализации муниципальной программы Администрации </w:t>
      </w:r>
      <w:proofErr w:type="spellStart"/>
      <w:r>
        <w:rPr>
          <w:b/>
        </w:rPr>
        <w:t>Молотычевскогого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Фатежского</w:t>
      </w:r>
      <w:proofErr w:type="spellEnd"/>
      <w:r>
        <w:rPr>
          <w:b/>
        </w:rPr>
        <w:t xml:space="preserve"> района Курской области</w:t>
      </w:r>
    </w:p>
    <w:p w:rsidR="00CC672C" w:rsidRDefault="00CC672C" w:rsidP="00CC672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ЧС, обеспечения пожарной безопасности и безопасности людей на водных объектах на 2014 - 202</w:t>
      </w:r>
      <w:r w:rsidR="0006426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C672C" w:rsidRDefault="00CC672C" w:rsidP="00CC672C">
      <w:pPr>
        <w:jc w:val="center"/>
        <w:rPr>
          <w:b/>
          <w:szCs w:val="28"/>
        </w:rPr>
      </w:pPr>
    </w:p>
    <w:p w:rsidR="00CC672C" w:rsidRDefault="00CC672C" w:rsidP="00CC672C">
      <w:pPr>
        <w:jc w:val="both"/>
      </w:pPr>
      <w:r>
        <w:rPr>
          <w:b/>
        </w:rPr>
        <w:tab/>
        <w:t xml:space="preserve">Ответственный исполнитель Программы: </w:t>
      </w:r>
      <w:r>
        <w:t xml:space="preserve">Администрация </w:t>
      </w:r>
      <w:proofErr w:type="spellStart"/>
      <w:r>
        <w:t>Молотычевского</w:t>
      </w:r>
      <w:proofErr w:type="spellEnd"/>
      <w:r>
        <w:t xml:space="preserve"> сельсовета </w:t>
      </w:r>
      <w:proofErr w:type="spellStart"/>
      <w:r>
        <w:t>Фатежского</w:t>
      </w:r>
      <w:proofErr w:type="spellEnd"/>
      <w:r>
        <w:t xml:space="preserve"> района</w:t>
      </w:r>
    </w:p>
    <w:p w:rsidR="00CC672C" w:rsidRDefault="00CC672C" w:rsidP="00CC672C">
      <w:pPr>
        <w:jc w:val="both"/>
        <w:rPr>
          <w:b/>
        </w:rPr>
      </w:pPr>
    </w:p>
    <w:p w:rsidR="00CC672C" w:rsidRDefault="00CC672C" w:rsidP="00CC672C">
      <w:pPr>
        <w:jc w:val="both"/>
      </w:pPr>
    </w:p>
    <w:p w:rsidR="00CC672C" w:rsidRDefault="00CC672C" w:rsidP="00CC672C">
      <w:pPr>
        <w:jc w:val="both"/>
      </w:pPr>
    </w:p>
    <w:p w:rsidR="00CC672C" w:rsidRDefault="00CC672C" w:rsidP="00CC672C">
      <w:pPr>
        <w:jc w:val="both"/>
      </w:pPr>
    </w:p>
    <w:p w:rsidR="00CC672C" w:rsidRDefault="00CC672C" w:rsidP="00CC672C">
      <w:pPr>
        <w:jc w:val="both"/>
      </w:pPr>
      <w:r>
        <w:tab/>
      </w:r>
      <w:r>
        <w:rPr>
          <w:b/>
        </w:rPr>
        <w:t>Отчетный  период</w:t>
      </w:r>
      <w:r>
        <w:t xml:space="preserve"> – 12 месяцев 20</w:t>
      </w:r>
      <w:r w:rsidR="00064264">
        <w:t>2</w:t>
      </w:r>
      <w:r w:rsidR="00AB419B">
        <w:t>3</w:t>
      </w:r>
      <w:r>
        <w:t xml:space="preserve"> года</w:t>
      </w:r>
    </w:p>
    <w:p w:rsidR="00CC672C" w:rsidRDefault="00CC672C" w:rsidP="00CC672C">
      <w:pPr>
        <w:jc w:val="both"/>
      </w:pPr>
    </w:p>
    <w:p w:rsidR="00CC672C" w:rsidRDefault="00CC672C" w:rsidP="00CC672C">
      <w:pPr>
        <w:jc w:val="both"/>
      </w:pPr>
    </w:p>
    <w:p w:rsidR="00CC672C" w:rsidRDefault="00CC672C" w:rsidP="00CC672C">
      <w:pPr>
        <w:jc w:val="both"/>
      </w:pPr>
    </w:p>
    <w:p w:rsidR="00CC672C" w:rsidRDefault="00CC672C" w:rsidP="00CC672C">
      <w:pPr>
        <w:jc w:val="both"/>
      </w:pPr>
    </w:p>
    <w:p w:rsidR="00CC672C" w:rsidRDefault="00CC672C" w:rsidP="00CC672C">
      <w:pPr>
        <w:jc w:val="both"/>
      </w:pPr>
    </w:p>
    <w:p w:rsidR="00CC672C" w:rsidRDefault="00CC672C" w:rsidP="00CC672C">
      <w:pPr>
        <w:jc w:val="both"/>
      </w:pPr>
    </w:p>
    <w:p w:rsidR="00CC672C" w:rsidRDefault="00CC672C" w:rsidP="00CC672C">
      <w:pPr>
        <w:jc w:val="both"/>
      </w:pPr>
      <w:r>
        <w:tab/>
      </w:r>
      <w:r>
        <w:rPr>
          <w:b/>
        </w:rPr>
        <w:t>Дата составления отчета</w:t>
      </w:r>
      <w:r>
        <w:t xml:space="preserve"> –</w:t>
      </w:r>
      <w:r w:rsidR="00064264">
        <w:t xml:space="preserve">  2</w:t>
      </w:r>
      <w:r w:rsidR="00AB419B">
        <w:t>8 марта</w:t>
      </w:r>
      <w:r w:rsidR="00064264">
        <w:t xml:space="preserve"> </w:t>
      </w:r>
      <w:r>
        <w:t xml:space="preserve"> 20</w:t>
      </w:r>
      <w:r w:rsidR="00064264">
        <w:t>2</w:t>
      </w:r>
      <w:r w:rsidR="00AB419B">
        <w:t>4</w:t>
      </w:r>
      <w:r>
        <w:t xml:space="preserve"> года</w:t>
      </w:r>
    </w:p>
    <w:p w:rsidR="00CC672C" w:rsidRDefault="00CC672C" w:rsidP="00CC672C">
      <w:pPr>
        <w:jc w:val="both"/>
      </w:pPr>
    </w:p>
    <w:p w:rsidR="00CC672C" w:rsidRDefault="00CC672C" w:rsidP="00CC672C">
      <w:pPr>
        <w:jc w:val="both"/>
        <w:rPr>
          <w:b/>
        </w:rPr>
      </w:pPr>
    </w:p>
    <w:p w:rsidR="00CC672C" w:rsidRDefault="00CC672C" w:rsidP="00CC672C">
      <w:pPr>
        <w:jc w:val="center"/>
      </w:pPr>
    </w:p>
    <w:p w:rsidR="00CC672C" w:rsidRDefault="00CC672C" w:rsidP="00CC672C">
      <w:pPr>
        <w:jc w:val="center"/>
      </w:pPr>
    </w:p>
    <w:p w:rsidR="00CC672C" w:rsidRDefault="00CC672C" w:rsidP="00CC672C">
      <w:pPr>
        <w:jc w:val="center"/>
      </w:pPr>
    </w:p>
    <w:p w:rsidR="00CC672C" w:rsidRDefault="00CC672C" w:rsidP="00CC672C">
      <w:pPr>
        <w:jc w:val="center"/>
      </w:pPr>
    </w:p>
    <w:p w:rsidR="00CC672C" w:rsidRDefault="00CC672C" w:rsidP="00CC672C">
      <w:pPr>
        <w:jc w:val="center"/>
      </w:pPr>
    </w:p>
    <w:p w:rsidR="00CC672C" w:rsidRDefault="00CC672C" w:rsidP="00CC672C">
      <w:pPr>
        <w:jc w:val="center"/>
      </w:pPr>
    </w:p>
    <w:p w:rsidR="00CC672C" w:rsidRDefault="00CC672C" w:rsidP="00CC672C">
      <w:pPr>
        <w:jc w:val="center"/>
      </w:pPr>
    </w:p>
    <w:p w:rsidR="00CC672C" w:rsidRDefault="00CC672C" w:rsidP="00CC672C">
      <w:pPr>
        <w:jc w:val="center"/>
      </w:pPr>
    </w:p>
    <w:p w:rsidR="00CC672C" w:rsidRDefault="00CC672C" w:rsidP="00CC672C">
      <w:pPr>
        <w:jc w:val="center"/>
      </w:pPr>
    </w:p>
    <w:p w:rsidR="00CC672C" w:rsidRDefault="00CC672C" w:rsidP="00CC672C">
      <w:pPr>
        <w:jc w:val="center"/>
      </w:pPr>
    </w:p>
    <w:p w:rsidR="00CC672C" w:rsidRDefault="00CC672C" w:rsidP="00CC672C">
      <w:pPr>
        <w:jc w:val="center"/>
      </w:pPr>
    </w:p>
    <w:p w:rsidR="00CC672C" w:rsidRDefault="00CC672C" w:rsidP="00CC672C">
      <w:pPr>
        <w:jc w:val="center"/>
      </w:pPr>
    </w:p>
    <w:p w:rsidR="00CC672C" w:rsidRDefault="00CC672C" w:rsidP="00CC672C">
      <w:pPr>
        <w:jc w:val="center"/>
      </w:pPr>
    </w:p>
    <w:p w:rsidR="00DA4715" w:rsidRDefault="00DA4715" w:rsidP="00CC672C">
      <w:pPr>
        <w:jc w:val="center"/>
      </w:pPr>
    </w:p>
    <w:p w:rsidR="00DA4715" w:rsidRDefault="00DA4715" w:rsidP="00CC672C">
      <w:pPr>
        <w:jc w:val="center"/>
      </w:pPr>
    </w:p>
    <w:p w:rsidR="00CC672C" w:rsidRDefault="00CC672C" w:rsidP="00CC67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ДОКЛАД</w:t>
      </w:r>
    </w:p>
    <w:p w:rsidR="00CC672C" w:rsidRDefault="00CC672C" w:rsidP="00CC672C">
      <w:pPr>
        <w:jc w:val="center"/>
        <w:rPr>
          <w:b/>
          <w:szCs w:val="28"/>
        </w:rPr>
      </w:pPr>
      <w:r>
        <w:rPr>
          <w:b/>
          <w:szCs w:val="28"/>
        </w:rPr>
        <w:t>о ходе реализации муниципальной программы Администрации</w:t>
      </w:r>
    </w:p>
    <w:p w:rsidR="00CC672C" w:rsidRDefault="00CC672C" w:rsidP="00CC672C">
      <w:pPr>
        <w:jc w:val="center"/>
        <w:rPr>
          <w:b/>
        </w:rPr>
      </w:pPr>
      <w:proofErr w:type="spellStart"/>
      <w:r>
        <w:rPr>
          <w:b/>
          <w:szCs w:val="28"/>
        </w:rPr>
        <w:t>Молотычевского</w:t>
      </w:r>
      <w:proofErr w:type="spellEnd"/>
      <w:r>
        <w:rPr>
          <w:b/>
          <w:szCs w:val="28"/>
        </w:rPr>
        <w:t xml:space="preserve"> сельсовета </w:t>
      </w:r>
      <w:proofErr w:type="spellStart"/>
      <w:r>
        <w:rPr>
          <w:b/>
          <w:szCs w:val="28"/>
        </w:rPr>
        <w:t>Фатежского</w:t>
      </w:r>
      <w:proofErr w:type="spellEnd"/>
      <w:r>
        <w:rPr>
          <w:b/>
          <w:szCs w:val="28"/>
        </w:rPr>
        <w:t xml:space="preserve"> района Курской области </w:t>
      </w:r>
      <w:r>
        <w:rPr>
          <w:b/>
        </w:rPr>
        <w:t>«Защита населения и территории от ЧС, обеспечения пожарной безопасности и безопасности людей на водных объектах на 2014 - 202</w:t>
      </w:r>
      <w:r w:rsidR="00064264">
        <w:rPr>
          <w:b/>
        </w:rPr>
        <w:t>3</w:t>
      </w:r>
      <w:r>
        <w:rPr>
          <w:b/>
        </w:rPr>
        <w:t xml:space="preserve"> годы »</w:t>
      </w:r>
    </w:p>
    <w:p w:rsidR="00CC672C" w:rsidRDefault="00CC672C" w:rsidP="00CC672C">
      <w:pPr>
        <w:pStyle w:val="a4"/>
        <w:shd w:val="clear" w:color="auto" w:fill="auto"/>
        <w:spacing w:before="0" w:line="240" w:lineRule="auto"/>
        <w:ind w:right="143"/>
        <w:jc w:val="center"/>
        <w:rPr>
          <w:b/>
          <w:sz w:val="28"/>
          <w:szCs w:val="28"/>
        </w:rPr>
      </w:pPr>
    </w:p>
    <w:p w:rsidR="00CC672C" w:rsidRDefault="00CC672C" w:rsidP="00CC672C">
      <w:pPr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Муниципальная программа Администрации  </w:t>
      </w:r>
      <w:proofErr w:type="spellStart"/>
      <w:r>
        <w:rPr>
          <w:rFonts w:ascii="Arial" w:hAnsi="Arial" w:cs="Arial"/>
          <w:sz w:val="24"/>
        </w:rPr>
        <w:t>Молотычевского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  <w:proofErr w:type="spellStart"/>
      <w:r>
        <w:rPr>
          <w:rFonts w:ascii="Arial" w:hAnsi="Arial" w:cs="Arial"/>
          <w:sz w:val="24"/>
        </w:rPr>
        <w:t>Фатежского</w:t>
      </w:r>
      <w:proofErr w:type="spellEnd"/>
      <w:r>
        <w:rPr>
          <w:rFonts w:ascii="Arial" w:hAnsi="Arial" w:cs="Arial"/>
          <w:sz w:val="24"/>
        </w:rPr>
        <w:t xml:space="preserve"> района Курской области «Защита населения и территории от ЧС, обеспечения пожарной безопасности и безопасности людей на водных объектах на 2014 - 202</w:t>
      </w:r>
      <w:r w:rsidR="00064264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годы» (далее – Программа) утверждена  постановлением Администрации  </w:t>
      </w:r>
      <w:proofErr w:type="spellStart"/>
      <w:r>
        <w:rPr>
          <w:rFonts w:ascii="Arial" w:hAnsi="Arial" w:cs="Arial"/>
          <w:sz w:val="24"/>
        </w:rPr>
        <w:t>Молотычевского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  <w:proofErr w:type="spellStart"/>
      <w:r>
        <w:rPr>
          <w:rFonts w:ascii="Arial" w:hAnsi="Arial" w:cs="Arial"/>
          <w:sz w:val="24"/>
        </w:rPr>
        <w:t>Фатежского</w:t>
      </w:r>
      <w:proofErr w:type="spellEnd"/>
      <w:r>
        <w:rPr>
          <w:rFonts w:ascii="Arial" w:hAnsi="Arial" w:cs="Arial"/>
          <w:sz w:val="24"/>
        </w:rPr>
        <w:t xml:space="preserve"> района Курской области от  </w:t>
      </w:r>
      <w:proofErr w:type="spellStart"/>
      <w:proofErr w:type="gramStart"/>
      <w:r>
        <w:rPr>
          <w:rFonts w:ascii="Arial" w:hAnsi="Arial" w:cs="Arial"/>
          <w:sz w:val="24"/>
        </w:rPr>
        <w:t>от</w:t>
      </w:r>
      <w:proofErr w:type="spellEnd"/>
      <w:proofErr w:type="gramEnd"/>
      <w:r>
        <w:rPr>
          <w:rFonts w:ascii="Arial" w:hAnsi="Arial" w:cs="Arial"/>
          <w:sz w:val="24"/>
        </w:rPr>
        <w:t xml:space="preserve"> «15» ноября  2013г. №  52</w:t>
      </w:r>
    </w:p>
    <w:p w:rsidR="00CC672C" w:rsidRDefault="00CC672C" w:rsidP="00CC672C">
      <w:pPr>
        <w:pStyle w:val="a4"/>
        <w:shd w:val="clear" w:color="auto" w:fill="auto"/>
        <w:spacing w:before="0" w:line="24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Размещена</w:t>
      </w:r>
      <w:proofErr w:type="gramEnd"/>
      <w:r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(подраздел «Муниципальные целевые программы» раздела «Муниципальные правовые акты») в информационно – телекоммуникационной сети «Интернет»  </w:t>
      </w:r>
    </w:p>
    <w:p w:rsidR="00CC672C" w:rsidRDefault="00CC672C" w:rsidP="00CC672C">
      <w:pPr>
        <w:pStyle w:val="a4"/>
        <w:tabs>
          <w:tab w:val="left" w:pos="0"/>
        </w:tabs>
        <w:spacing w:line="276" w:lineRule="auto"/>
        <w:ind w:right="1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Цель Программы:</w:t>
      </w:r>
    </w:p>
    <w:p w:rsidR="00CC672C" w:rsidRDefault="00CC672C" w:rsidP="00CC672C">
      <w:pPr>
        <w:pStyle w:val="ConsPlusNonformat"/>
        <w:widowControl/>
        <w:ind w:lef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 комплексной безопасности, минимизации социального, экономического и экологического ущерба наносимого населению от ЧС природного и техногенного характера, пожаров, происшествий на водных объектах;</w:t>
      </w:r>
    </w:p>
    <w:p w:rsidR="00CC672C" w:rsidRDefault="00CC672C" w:rsidP="00CC672C">
      <w:pPr>
        <w:ind w:left="-1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создание необходимых условий для обеспечения пожарной безопасности защиты жизни и здоровья граждан;</w:t>
      </w:r>
    </w:p>
    <w:p w:rsidR="00CC672C" w:rsidRDefault="00CC672C" w:rsidP="00CC672C">
      <w:pPr>
        <w:ind w:left="-1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-сокращение времени реагирования подразделений ДПК и ДПД на пожары;</w:t>
      </w:r>
    </w:p>
    <w:p w:rsidR="00CC672C" w:rsidRDefault="00CC672C" w:rsidP="00CC672C">
      <w:pPr>
        <w:ind w:left="-1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-оснащение учреждений социальной сферы системами пожарной автоматики;</w:t>
      </w:r>
    </w:p>
    <w:p w:rsidR="00CC672C" w:rsidRDefault="00CC672C" w:rsidP="00CC672C">
      <w:pPr>
        <w:ind w:left="-1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- улучшение материальной базы учебного процесса по вопросам гражданской обороны и чрезвычайным ситуациям;</w:t>
      </w:r>
    </w:p>
    <w:p w:rsidR="00CC672C" w:rsidRDefault="00CC672C" w:rsidP="00CC672C">
      <w:pPr>
        <w:ind w:left="-1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- создание резервов (запасов) материальных ресурсов для ликвидации чрезвычайных ситуаций и в особый период;</w:t>
      </w:r>
    </w:p>
    <w:p w:rsidR="00CC672C" w:rsidRDefault="00CC672C" w:rsidP="00CC6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- повышение подготовленности к жизнеобеспечению населения от чрезвычайных ситуаций в </w:t>
      </w:r>
      <w:proofErr w:type="spellStart"/>
      <w:r>
        <w:rPr>
          <w:rFonts w:ascii="Arial" w:hAnsi="Arial" w:cs="Arial"/>
          <w:sz w:val="24"/>
        </w:rPr>
        <w:t>Молотычевском</w:t>
      </w:r>
      <w:proofErr w:type="spellEnd"/>
      <w:r>
        <w:rPr>
          <w:rFonts w:ascii="Arial" w:hAnsi="Arial" w:cs="Arial"/>
          <w:sz w:val="24"/>
        </w:rPr>
        <w:t xml:space="preserve"> сельсовете </w:t>
      </w:r>
      <w:proofErr w:type="spellStart"/>
      <w:r>
        <w:rPr>
          <w:rFonts w:ascii="Arial" w:hAnsi="Arial" w:cs="Arial"/>
          <w:sz w:val="24"/>
        </w:rPr>
        <w:t>Фатежского</w:t>
      </w:r>
      <w:proofErr w:type="spellEnd"/>
      <w:r>
        <w:rPr>
          <w:rFonts w:ascii="Arial" w:hAnsi="Arial" w:cs="Arial"/>
          <w:sz w:val="24"/>
        </w:rPr>
        <w:t xml:space="preserve"> района Курской области.</w:t>
      </w:r>
    </w:p>
    <w:p w:rsidR="00CC672C" w:rsidRDefault="00CC672C" w:rsidP="00CC672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Задачи Программы:</w:t>
      </w:r>
    </w:p>
    <w:p w:rsidR="00CC672C" w:rsidRDefault="00CC672C" w:rsidP="00CC6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CC672C" w:rsidRDefault="00CC672C" w:rsidP="00CC6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CC672C" w:rsidRDefault="00CC672C" w:rsidP="00CC6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C672C" w:rsidRDefault="00CC672C" w:rsidP="00CC6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приобретение современных сре</w:t>
      </w:r>
      <w:proofErr w:type="gramStart"/>
      <w:r>
        <w:rPr>
          <w:rFonts w:ascii="Arial" w:hAnsi="Arial" w:cs="Arial"/>
          <w:sz w:val="24"/>
        </w:rPr>
        <w:t>дств сп</w:t>
      </w:r>
      <w:proofErr w:type="gramEnd"/>
      <w:r>
        <w:rPr>
          <w:rFonts w:ascii="Arial" w:hAnsi="Arial" w:cs="Arial"/>
          <w:sz w:val="24"/>
        </w:rPr>
        <w:t>асения людей при ЧС и пожарах в учреждениях социальной сферы;</w:t>
      </w:r>
    </w:p>
    <w:p w:rsidR="00CC672C" w:rsidRDefault="00CC672C" w:rsidP="00CC6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CC672C" w:rsidRDefault="00CC672C" w:rsidP="00CC6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улучшение материально-технической базы оперативной группы КЧС и ОПБ Администрации  </w:t>
      </w:r>
      <w:proofErr w:type="spellStart"/>
      <w:r>
        <w:rPr>
          <w:rFonts w:ascii="Arial" w:hAnsi="Arial" w:cs="Arial"/>
          <w:sz w:val="24"/>
        </w:rPr>
        <w:t>Молотычевского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  <w:proofErr w:type="spellStart"/>
      <w:r>
        <w:rPr>
          <w:rFonts w:ascii="Arial" w:hAnsi="Arial" w:cs="Arial"/>
          <w:sz w:val="24"/>
        </w:rPr>
        <w:t>Фатежского</w:t>
      </w:r>
      <w:proofErr w:type="spellEnd"/>
      <w:r>
        <w:rPr>
          <w:rFonts w:ascii="Arial" w:hAnsi="Arial" w:cs="Arial"/>
          <w:sz w:val="24"/>
        </w:rPr>
        <w:t xml:space="preserve"> района </w:t>
      </w:r>
    </w:p>
    <w:p w:rsidR="00CC672C" w:rsidRDefault="00CC672C" w:rsidP="00CC6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информирование населения о правилах поведения и действиях в чрезвычайных ситуациях;</w:t>
      </w:r>
    </w:p>
    <w:p w:rsidR="00CC672C" w:rsidRDefault="00CC672C" w:rsidP="00CC6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-создание материальных резервов для ликвидации чрезвычайных ситуаций;</w:t>
      </w:r>
    </w:p>
    <w:p w:rsidR="00CC672C" w:rsidRDefault="00CC672C" w:rsidP="00CC6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восполнение на муниципальном уровне по истечении срока хранения индивидуальных средств защиты для работников муниципальных учреждений и организаций;</w:t>
      </w:r>
    </w:p>
    <w:p w:rsidR="00CC672C" w:rsidRDefault="00CC672C" w:rsidP="00CC6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организация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движения; повышение эффективности реагирования на чрезвычайные ситуации любого характера.</w:t>
      </w:r>
    </w:p>
    <w:p w:rsidR="00CC672C" w:rsidRDefault="00CC672C" w:rsidP="00CC672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- организация на муниципальном уровне выполнения мероприятий по защите населения при опасностях, возникающих при ведении военных действий или вследствие этих действий, при угрозе возникновения или возникновении чрезвычайных ситуаций на территории </w:t>
      </w:r>
      <w:proofErr w:type="spellStart"/>
      <w:r>
        <w:rPr>
          <w:rFonts w:ascii="Arial" w:hAnsi="Arial" w:cs="Arial"/>
          <w:sz w:val="24"/>
        </w:rPr>
        <w:t>Молотычевского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  <w:proofErr w:type="spellStart"/>
      <w:r>
        <w:rPr>
          <w:rFonts w:ascii="Arial" w:hAnsi="Arial" w:cs="Arial"/>
          <w:sz w:val="24"/>
        </w:rPr>
        <w:t>Фатежского</w:t>
      </w:r>
      <w:proofErr w:type="spellEnd"/>
      <w:r>
        <w:rPr>
          <w:rFonts w:ascii="Arial" w:hAnsi="Arial" w:cs="Arial"/>
          <w:sz w:val="24"/>
        </w:rPr>
        <w:t xml:space="preserve"> района; организация выдач </w:t>
      </w:r>
      <w:proofErr w:type="gramStart"/>
      <w:r>
        <w:rPr>
          <w:rFonts w:ascii="Arial" w:hAnsi="Arial" w:cs="Arial"/>
          <w:sz w:val="24"/>
        </w:rPr>
        <w:t>СИЗ</w:t>
      </w:r>
      <w:proofErr w:type="gramEnd"/>
      <w:r>
        <w:rPr>
          <w:rFonts w:ascii="Arial" w:hAnsi="Arial" w:cs="Arial"/>
          <w:sz w:val="24"/>
        </w:rPr>
        <w:t xml:space="preserve"> населению  </w:t>
      </w:r>
      <w:proofErr w:type="spellStart"/>
      <w:r>
        <w:rPr>
          <w:rFonts w:ascii="Arial" w:hAnsi="Arial" w:cs="Arial"/>
          <w:sz w:val="24"/>
        </w:rPr>
        <w:t>Молотычевского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  <w:proofErr w:type="spellStart"/>
      <w:r>
        <w:rPr>
          <w:rFonts w:ascii="Arial" w:hAnsi="Arial" w:cs="Arial"/>
          <w:sz w:val="24"/>
        </w:rPr>
        <w:t>Фатежского</w:t>
      </w:r>
      <w:proofErr w:type="spellEnd"/>
      <w:r>
        <w:rPr>
          <w:rFonts w:ascii="Arial" w:hAnsi="Arial" w:cs="Arial"/>
          <w:sz w:val="24"/>
        </w:rPr>
        <w:t xml:space="preserve"> района в установленном порядке.</w:t>
      </w:r>
    </w:p>
    <w:p w:rsidR="00CC672C" w:rsidRDefault="00CC672C" w:rsidP="00CC6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На реализацию выполнения мероприятий Программы на 20</w:t>
      </w:r>
      <w:r w:rsidR="00064264">
        <w:rPr>
          <w:rFonts w:ascii="Arial" w:hAnsi="Arial" w:cs="Arial"/>
          <w:sz w:val="24"/>
        </w:rPr>
        <w:t>2</w:t>
      </w:r>
      <w:r w:rsidR="00AB419B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год планировались средства </w:t>
      </w:r>
      <w:r>
        <w:rPr>
          <w:rFonts w:ascii="Arial" w:hAnsi="Arial" w:cs="Arial"/>
          <w:b/>
          <w:sz w:val="24"/>
        </w:rPr>
        <w:t>местного бюджета</w:t>
      </w:r>
      <w:r>
        <w:rPr>
          <w:rFonts w:ascii="Arial" w:hAnsi="Arial" w:cs="Arial"/>
          <w:sz w:val="24"/>
        </w:rPr>
        <w:t xml:space="preserve"> в  объеме </w:t>
      </w:r>
      <w:r w:rsidR="00064264">
        <w:rPr>
          <w:rFonts w:ascii="Arial" w:hAnsi="Arial" w:cs="Arial"/>
          <w:sz w:val="24"/>
        </w:rPr>
        <w:t xml:space="preserve"> - </w:t>
      </w:r>
      <w:r w:rsidR="00AB419B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,0 тыс. руб.</w:t>
      </w:r>
    </w:p>
    <w:p w:rsidR="00CC672C" w:rsidRDefault="00CC672C" w:rsidP="00CC672C">
      <w:pPr>
        <w:shd w:val="clear" w:color="auto" w:fill="FFFFFF"/>
        <w:ind w:left="57" w:firstLine="3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rFonts w:ascii="Arial" w:hAnsi="Arial" w:cs="Arial"/>
          <w:sz w:val="24"/>
        </w:rPr>
      </w:pPr>
    </w:p>
    <w:p w:rsidR="00CC672C" w:rsidRDefault="00CC672C" w:rsidP="00CC672C">
      <w:pPr>
        <w:ind w:firstLine="708"/>
        <w:jc w:val="both"/>
        <w:rPr>
          <w:sz w:val="24"/>
        </w:rPr>
      </w:pPr>
    </w:p>
    <w:p w:rsidR="00CC672C" w:rsidRDefault="00CC672C" w:rsidP="00CC672C">
      <w:pPr>
        <w:ind w:firstLine="708"/>
        <w:jc w:val="both"/>
        <w:rPr>
          <w:sz w:val="24"/>
        </w:rPr>
      </w:pPr>
    </w:p>
    <w:p w:rsidR="00CC672C" w:rsidRDefault="00CC672C" w:rsidP="00CC672C">
      <w:pPr>
        <w:ind w:firstLine="708"/>
        <w:jc w:val="both"/>
        <w:rPr>
          <w:sz w:val="24"/>
        </w:rPr>
      </w:pPr>
    </w:p>
    <w:p w:rsidR="00CC672C" w:rsidRDefault="00CC672C" w:rsidP="00CC672C">
      <w:pPr>
        <w:rPr>
          <w:sz w:val="24"/>
        </w:rPr>
        <w:sectPr w:rsidR="00CC672C">
          <w:pgSz w:w="11906" w:h="16838"/>
          <w:pgMar w:top="1134" w:right="1247" w:bottom="1134" w:left="1531" w:header="709" w:footer="709" w:gutter="0"/>
          <w:cols w:space="720"/>
        </w:sectPr>
      </w:pPr>
    </w:p>
    <w:p w:rsidR="00CC672C" w:rsidRDefault="00CC672C" w:rsidP="00CC672C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СВЕДЕНИЯ О ДОСТИЖЕНИИ ЗНАЧЕНИЙ </w:t>
      </w:r>
    </w:p>
    <w:p w:rsidR="00CC672C" w:rsidRDefault="00CC672C" w:rsidP="00CC67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ЦЕЛЕВЫХ ИНДИКАТОРОВ И ПОКАЗАТЕЛЕЙ МУНИЦИПАЛЬНОЙ ПРОГРАММЫ " ЗАЩИТА НАСЕЛЕНИЯ И ТЕРРИТОРИИ ОТ ЧС, ОБЕСПЕЧЕНИЯ ПОЖАРНОЙ БЕЗОПАСНОСТИ И БЕЗОПАСНОСТИ ЛЮДЕЙ НА ВОДНЫХ ОБЪЕКТАХ  НА 2014 - 202</w:t>
      </w:r>
      <w:r w:rsidR="0006426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ГОДЫ "</w:t>
      </w:r>
    </w:p>
    <w:tbl>
      <w:tblPr>
        <w:tblpPr w:leftFromText="180" w:rightFromText="180" w:bottomFromText="200" w:vertAnchor="text" w:horzAnchor="margin" w:tblpXSpec="center" w:tblpY="109"/>
        <w:tblW w:w="152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3"/>
        <w:gridCol w:w="1745"/>
        <w:gridCol w:w="4508"/>
        <w:gridCol w:w="1233"/>
        <w:gridCol w:w="1618"/>
        <w:gridCol w:w="127"/>
        <w:gridCol w:w="587"/>
        <w:gridCol w:w="714"/>
        <w:gridCol w:w="753"/>
        <w:gridCol w:w="992"/>
        <w:gridCol w:w="992"/>
        <w:gridCol w:w="1418"/>
      </w:tblGrid>
      <w:tr w:rsidR="00CC672C" w:rsidTr="00CC672C">
        <w:trPr>
          <w:gridAfter w:val="6"/>
          <w:wAfter w:w="5456" w:type="dxa"/>
          <w:cantSplit/>
          <w:trHeight w:val="241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 </w:t>
            </w:r>
            <w:r>
              <w:rPr>
                <w:sz w:val="21"/>
                <w:szCs w:val="21"/>
              </w:rPr>
              <w:br/>
            </w:r>
            <w:proofErr w:type="spellStart"/>
            <w:proofErr w:type="gramStart"/>
            <w:r>
              <w:rPr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62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 показателей  целей и задач программы</w:t>
            </w:r>
          </w:p>
        </w:tc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Ед.  </w:t>
            </w:r>
            <w:r>
              <w:rPr>
                <w:sz w:val="21"/>
                <w:szCs w:val="21"/>
              </w:rPr>
              <w:br/>
              <w:t>измерения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tr w:rsidR="00CC672C" w:rsidTr="00CC672C">
        <w:trPr>
          <w:cantSplit/>
          <w:trHeight w:val="48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rPr>
                <w:sz w:val="21"/>
                <w:szCs w:val="21"/>
              </w:rPr>
            </w:pP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 начала реализации муниципальной программы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ind w:left="-32" w:right="-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 год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ind w:left="-32" w:right="-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 год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ind w:right="-70"/>
              <w:jc w:val="center"/>
              <w:outlineLvl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 w:rsidP="008D44ED">
            <w:pPr>
              <w:autoSpaceDE w:val="0"/>
              <w:autoSpaceDN w:val="0"/>
              <w:adjustRightInd w:val="0"/>
              <w:spacing w:line="276" w:lineRule="auto"/>
              <w:ind w:right="-7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1"/>
                <w:szCs w:val="21"/>
              </w:rPr>
              <w:t>20</w:t>
            </w:r>
            <w:r w:rsidR="00064264">
              <w:rPr>
                <w:sz w:val="21"/>
                <w:szCs w:val="21"/>
              </w:rPr>
              <w:t>2</w:t>
            </w:r>
            <w:r w:rsidR="008D44ED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период реализации программы</w:t>
            </w:r>
          </w:p>
        </w:tc>
      </w:tr>
      <w:tr w:rsidR="00CC672C" w:rsidTr="00CC672C">
        <w:trPr>
          <w:cantSplit/>
          <w:trHeight w:val="48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ind w:right="-7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ind w:right="-70"/>
              <w:jc w:val="center"/>
              <w:outlineLvl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ind w:right="-7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2C" w:rsidRDefault="00CC672C">
            <w:pPr>
              <w:rPr>
                <w:sz w:val="21"/>
                <w:szCs w:val="21"/>
              </w:rPr>
            </w:pPr>
          </w:p>
        </w:tc>
      </w:tr>
      <w:tr w:rsidR="00CC672C" w:rsidTr="00CC672C">
        <w:trPr>
          <w:gridAfter w:val="10"/>
          <w:wAfter w:w="12941" w:type="dxa"/>
          <w:cantSplit/>
          <w:trHeight w:val="16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C672C" w:rsidTr="00CC672C">
        <w:trPr>
          <w:gridAfter w:val="10"/>
          <w:wAfter w:w="12941" w:type="dxa"/>
          <w:cantSplit/>
          <w:trHeight w:val="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C672C" w:rsidTr="00CC672C">
        <w:trPr>
          <w:cantSplit/>
          <w:trHeight w:val="42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системы мониторинга и прогнозирования ЧС,        повышение эффективности реагирования на чрезвычайные ситуации любого характера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AB419B" w:rsidP="00AB41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64264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AB419B" w:rsidP="00AB41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64264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C672C" w:rsidTr="00CC672C">
        <w:trPr>
          <w:gridAfter w:val="10"/>
          <w:wAfter w:w="12941" w:type="dxa"/>
          <w:cantSplit/>
          <w:trHeight w:val="15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C672C" w:rsidTr="00CC672C">
        <w:trPr>
          <w:cantSplit/>
          <w:trHeight w:val="42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Уменьшение среднего времени реагирования оперативных служб при происшествиях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минуты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C672C" w:rsidTr="00CC672C">
        <w:trPr>
          <w:gridAfter w:val="10"/>
          <w:wAfter w:w="12941" w:type="dxa"/>
          <w:cantSplit/>
          <w:trHeight w:val="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C672C" w:rsidTr="00CC672C">
        <w:trPr>
          <w:cantSplit/>
          <w:trHeight w:val="42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системы безопасности людей на водных объектах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C672C" w:rsidTr="00CC672C">
        <w:trPr>
          <w:gridAfter w:val="10"/>
          <w:wAfter w:w="12941" w:type="dxa"/>
          <w:cantSplit/>
          <w:trHeight w:val="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C672C" w:rsidTr="00CC672C">
        <w:trPr>
          <w:cantSplit/>
          <w:trHeight w:val="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Снижение количества  пострадавшего населения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C672C" w:rsidTr="00CC672C">
        <w:trPr>
          <w:cantSplit/>
          <w:trHeight w:val="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Снижение экономического ущерба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C672C" w:rsidTr="00CC672C">
        <w:trPr>
          <w:gridAfter w:val="10"/>
          <w:wAfter w:w="12941" w:type="dxa"/>
          <w:cantSplit/>
          <w:trHeight w:val="10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C672C" w:rsidTr="00CC672C">
        <w:trPr>
          <w:cantSplit/>
          <w:trHeight w:val="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Снижение, количества гибели людей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CC672C" w:rsidTr="00CC672C">
        <w:trPr>
          <w:cantSplit/>
          <w:trHeight w:val="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Увеличение количества спасенного на воде населения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2C" w:rsidRDefault="00CC67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CC672C" w:rsidRDefault="00CC672C" w:rsidP="00CC672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CC672C" w:rsidRDefault="00CC672C" w:rsidP="00CC672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C672C" w:rsidRDefault="00CC672C" w:rsidP="00CC672C">
      <w:pPr>
        <w:ind w:firstLine="540"/>
        <w:rPr>
          <w:sz w:val="24"/>
        </w:rPr>
      </w:pPr>
      <w:r>
        <w:rPr>
          <w:sz w:val="24"/>
        </w:rPr>
        <w:t>&lt;1</w:t>
      </w:r>
      <w:proofErr w:type="gramStart"/>
      <w:r>
        <w:rPr>
          <w:sz w:val="24"/>
        </w:rPr>
        <w:t>&gt; П</w:t>
      </w:r>
      <w:proofErr w:type="gramEnd"/>
      <w:r>
        <w:rPr>
          <w:sz w:val="24"/>
        </w:rPr>
        <w:t>ри наличии отклонений плановых показателей от фактических приводится краткое описание проблем, а при отсутствии отклонений указывается "нет</w:t>
      </w:r>
    </w:p>
    <w:p w:rsidR="00CC672C" w:rsidRDefault="00CC672C" w:rsidP="00CC672C">
      <w:pPr>
        <w:rPr>
          <w:sz w:val="24"/>
        </w:rPr>
        <w:sectPr w:rsidR="00CC672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32F0E" w:rsidRDefault="00732F0E" w:rsidP="00CC672C">
      <w:pPr>
        <w:jc w:val="both"/>
      </w:pPr>
    </w:p>
    <w:sectPr w:rsidR="00732F0E" w:rsidSect="00CC672C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D0"/>
    <w:rsid w:val="00025E97"/>
    <w:rsid w:val="00064264"/>
    <w:rsid w:val="001E7FA4"/>
    <w:rsid w:val="002E04F9"/>
    <w:rsid w:val="00337D5B"/>
    <w:rsid w:val="00367487"/>
    <w:rsid w:val="003A49EF"/>
    <w:rsid w:val="0046647A"/>
    <w:rsid w:val="004F59A5"/>
    <w:rsid w:val="00556C19"/>
    <w:rsid w:val="0066701A"/>
    <w:rsid w:val="006C1FB5"/>
    <w:rsid w:val="00732F0E"/>
    <w:rsid w:val="007676D0"/>
    <w:rsid w:val="007C315E"/>
    <w:rsid w:val="008D44ED"/>
    <w:rsid w:val="0094250F"/>
    <w:rsid w:val="00AB419B"/>
    <w:rsid w:val="00B50E92"/>
    <w:rsid w:val="00B66EC9"/>
    <w:rsid w:val="00BA1838"/>
    <w:rsid w:val="00CC672C"/>
    <w:rsid w:val="00DA4715"/>
    <w:rsid w:val="00FF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50E92"/>
    <w:rPr>
      <w:sz w:val="16"/>
      <w:szCs w:val="16"/>
      <w:shd w:val="clear" w:color="auto" w:fill="FFFFFF"/>
    </w:rPr>
  </w:style>
  <w:style w:type="paragraph" w:styleId="a4">
    <w:name w:val="Body Text"/>
    <w:basedOn w:val="a"/>
    <w:link w:val="a3"/>
    <w:rsid w:val="00B50E92"/>
    <w:pPr>
      <w:shd w:val="clear" w:color="auto" w:fill="FFFFFF"/>
      <w:spacing w:before="420" w:line="171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">
    <w:name w:val="Основной текст Знак1"/>
    <w:basedOn w:val="a0"/>
    <w:semiHidden/>
    <w:rsid w:val="00B50E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C1F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50E92"/>
    <w:rPr>
      <w:sz w:val="16"/>
      <w:szCs w:val="16"/>
      <w:shd w:val="clear" w:color="auto" w:fill="FFFFFF"/>
    </w:rPr>
  </w:style>
  <w:style w:type="paragraph" w:styleId="a4">
    <w:name w:val="Body Text"/>
    <w:basedOn w:val="a"/>
    <w:link w:val="a3"/>
    <w:rsid w:val="00B50E92"/>
    <w:pPr>
      <w:shd w:val="clear" w:color="auto" w:fill="FFFFFF"/>
      <w:spacing w:before="420" w:line="171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50E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2018-08-30T11:49:00Z</dcterms:created>
  <dcterms:modified xsi:type="dcterms:W3CDTF">2024-03-28T06:59:00Z</dcterms:modified>
</cp:coreProperties>
</file>